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78164" w14:textId="77777777" w:rsidR="00280DD9" w:rsidRPr="00280DD9" w:rsidRDefault="00280DD9" w:rsidP="00280DD9">
      <w:pPr>
        <w:spacing w:line="560" w:lineRule="atLeast"/>
        <w:jc w:val="left"/>
        <w:rPr>
          <w:rFonts w:ascii="黑体" w:eastAsia="黑体" w:hAnsi="黑体"/>
          <w:sz w:val="32"/>
          <w:szCs w:val="32"/>
        </w:rPr>
      </w:pPr>
      <w:r w:rsidRPr="00280DD9">
        <w:rPr>
          <w:rFonts w:ascii="黑体" w:eastAsia="黑体" w:hAnsi="黑体" w:hint="eastAsia"/>
          <w:sz w:val="32"/>
          <w:szCs w:val="32"/>
        </w:rPr>
        <w:t>附件</w:t>
      </w:r>
      <w:r w:rsidRPr="00280DD9">
        <w:rPr>
          <w:rFonts w:ascii="黑体" w:eastAsia="黑体" w:hAnsi="黑体"/>
          <w:sz w:val="32"/>
          <w:szCs w:val="32"/>
        </w:rPr>
        <w:t>2</w:t>
      </w:r>
    </w:p>
    <w:p w14:paraId="015B9CB1" w14:textId="77777777" w:rsidR="00280DD9" w:rsidRPr="00B961D1" w:rsidRDefault="00280DD9" w:rsidP="00280DD9">
      <w:pPr>
        <w:spacing w:line="560" w:lineRule="atLeast"/>
        <w:jc w:val="center"/>
        <w:rPr>
          <w:rFonts w:ascii="华文中宋" w:eastAsia="华文中宋" w:hAnsi="华文中宋"/>
          <w:sz w:val="44"/>
          <w:szCs w:val="44"/>
        </w:rPr>
      </w:pPr>
      <w:r w:rsidRPr="00B961D1">
        <w:rPr>
          <w:rFonts w:ascii="华文中宋" w:eastAsia="华文中宋" w:hAnsi="华文中宋" w:hint="eastAsia"/>
          <w:sz w:val="44"/>
          <w:szCs w:val="44"/>
        </w:rPr>
        <w:t>《大连商品交易所风险管理办法》修订稿</w:t>
      </w:r>
    </w:p>
    <w:p w14:paraId="3296F118" w14:textId="77777777" w:rsidR="00280DD9" w:rsidRPr="00B961D1" w:rsidRDefault="00280DD9" w:rsidP="00280DD9">
      <w:pPr>
        <w:spacing w:line="560" w:lineRule="atLeast"/>
        <w:ind w:firstLineChars="200" w:firstLine="640"/>
        <w:rPr>
          <w:rFonts w:ascii="Times New Roman" w:eastAsia="仿宋_GB2312" w:hAnsi="Times New Roman"/>
          <w:sz w:val="32"/>
          <w:szCs w:val="32"/>
        </w:rPr>
      </w:pPr>
    </w:p>
    <w:p w14:paraId="63ABE170"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第一章 总则</w:t>
      </w:r>
    </w:p>
    <w:p w14:paraId="53F4621C"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第一条 为了加强期货交易风险管理，维护期货交易各方的合法权益，保证大连商品交易所(以下简称交易所)期货交易正常的进行，根据《大连商品交易所交易规则》，制定本办法。</w:t>
      </w:r>
    </w:p>
    <w:p w14:paraId="6164BB37"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第二条 交易所风险管理实行保证金制度、涨跌停板制度、限仓制度、交易限额制度、大户报告制度、强行平仓制度和风险警示制度。</w:t>
      </w:r>
    </w:p>
    <w:p w14:paraId="706F0E2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第三条 交易所、会员、境外经纪机构和客户必须遵守本办法。境外经纪机构应当辅助其委托交易结算的期货公司会员做好境外客户的强行平仓、大户报告、风险提示等工作。期货公司会员应当将涉及境外经纪机构客户的“强行平仓通知书”、强行平仓结果、风险提示函等及时通知境外经纪机构。</w:t>
      </w:r>
    </w:p>
    <w:p w14:paraId="6F7F2B49"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第二章 保证金制度</w:t>
      </w:r>
    </w:p>
    <w:p w14:paraId="7CAC7B0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第四条 交易所实行保证金制度。各品种期货合约的最低交易保证金为合约价值的5%。</w:t>
      </w:r>
    </w:p>
    <w:p w14:paraId="7FF921A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新开仓交易保证金按前一交易日结算时交易保证金收取。</w:t>
      </w:r>
    </w:p>
    <w:p w14:paraId="138CB041" w14:textId="77777777" w:rsidR="00280DD9" w:rsidRPr="00B961D1" w:rsidRDefault="00280DD9" w:rsidP="00280DD9">
      <w:pPr>
        <w:widowControl/>
        <w:shd w:val="clear" w:color="auto" w:fill="FFFFFF"/>
        <w:ind w:firstLine="645"/>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lastRenderedPageBreak/>
        <w:t>交易所可以根据市场情况调整各合约交易保证金标准。</w:t>
      </w:r>
    </w:p>
    <w:p w14:paraId="17526417" w14:textId="77777777" w:rsidR="00280DD9" w:rsidRPr="00B961D1" w:rsidRDefault="00280DD9" w:rsidP="00280DD9">
      <w:pPr>
        <w:widowControl/>
        <w:shd w:val="clear" w:color="auto" w:fill="FFFFFF"/>
        <w:ind w:firstLine="645"/>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合约在某一交易时间段的交易保证金标准自该交易时间段</w:t>
      </w:r>
      <w:proofErr w:type="gramStart"/>
      <w:r w:rsidRPr="00B961D1">
        <w:rPr>
          <w:rFonts w:ascii="仿宋_GB2312" w:eastAsia="仿宋_GB2312" w:hAnsi="&amp;quot" w:cs="宋体" w:hint="eastAsia"/>
          <w:color w:val="333333"/>
          <w:kern w:val="0"/>
          <w:sz w:val="32"/>
          <w:szCs w:val="32"/>
        </w:rPr>
        <w:t>起始日前</w:t>
      </w:r>
      <w:proofErr w:type="gramEnd"/>
      <w:r w:rsidRPr="00B961D1">
        <w:rPr>
          <w:rFonts w:ascii="仿宋_GB2312" w:eastAsia="仿宋_GB2312" w:hAnsi="&amp;quot" w:cs="宋体" w:hint="eastAsia"/>
          <w:color w:val="333333"/>
          <w:kern w:val="0"/>
          <w:sz w:val="32"/>
          <w:szCs w:val="32"/>
        </w:rPr>
        <w:t>一交易日结算时起执行。</w:t>
      </w:r>
    </w:p>
    <w:p w14:paraId="4ED67BD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第五条 自交易所上市的商品期货合约进入交割月份前一个月第十五个交易日起，交易所将分时间</w:t>
      </w:r>
      <w:proofErr w:type="gramStart"/>
      <w:r w:rsidRPr="00B961D1">
        <w:rPr>
          <w:rFonts w:ascii="仿宋_GB2312" w:eastAsia="仿宋_GB2312" w:hAnsi="&amp;quot" w:cs="宋体" w:hint="eastAsia"/>
          <w:color w:val="333333"/>
          <w:kern w:val="0"/>
          <w:sz w:val="32"/>
          <w:szCs w:val="32"/>
        </w:rPr>
        <w:t>段逐步</w:t>
      </w:r>
      <w:proofErr w:type="gramEnd"/>
      <w:r w:rsidRPr="00B961D1">
        <w:rPr>
          <w:rFonts w:ascii="仿宋_GB2312" w:eastAsia="仿宋_GB2312" w:hAnsi="&amp;quot" w:cs="宋体" w:hint="eastAsia"/>
          <w:color w:val="333333"/>
          <w:kern w:val="0"/>
          <w:sz w:val="32"/>
          <w:szCs w:val="32"/>
        </w:rPr>
        <w:t>提高该合约的交易保证金。</w:t>
      </w:r>
    </w:p>
    <w:p w14:paraId="155A4E9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交易所上市的商品期货合约临近交割期时交易保证金收取标准为：</w:t>
      </w:r>
    </w:p>
    <w:tbl>
      <w:tblPr>
        <w:tblW w:w="0" w:type="auto"/>
        <w:jc w:val="center"/>
        <w:tblCellSpacing w:w="0" w:type="dxa"/>
        <w:tblBorders>
          <w:top w:val="outset" w:sz="6" w:space="0" w:color="000000"/>
          <w:left w:val="outset" w:sz="6" w:space="0" w:color="000000"/>
          <w:bottom w:val="outset" w:sz="6" w:space="0" w:color="000000"/>
          <w:right w:val="outset" w:sz="6" w:space="0" w:color="000000"/>
        </w:tblBorders>
        <w:shd w:val="clear" w:color="auto" w:fill="FFFFFF"/>
        <w:tblCellMar>
          <w:left w:w="0" w:type="dxa"/>
          <w:right w:w="0" w:type="dxa"/>
        </w:tblCellMar>
        <w:tblLook w:val="04A0" w:firstRow="1" w:lastRow="0" w:firstColumn="1" w:lastColumn="0" w:noHBand="0" w:noVBand="1"/>
      </w:tblPr>
      <w:tblGrid>
        <w:gridCol w:w="4830"/>
        <w:gridCol w:w="2750"/>
      </w:tblGrid>
      <w:tr w:rsidR="00280DD9" w:rsidRPr="00B961D1" w14:paraId="18892F8F" w14:textId="77777777" w:rsidTr="00381491">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4484A129"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交易时间段</w:t>
            </w: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F277A3D"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交易保证金(元/手)</w:t>
            </w:r>
          </w:p>
        </w:tc>
      </w:tr>
      <w:tr w:rsidR="00280DD9" w:rsidRPr="00B961D1" w14:paraId="734823CD" w14:textId="77777777" w:rsidTr="00381491">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61F239AB"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交割月份前一个月第十五个交易日</w:t>
            </w: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249B4238"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合约价值的10%</w:t>
            </w:r>
          </w:p>
        </w:tc>
      </w:tr>
      <w:tr w:rsidR="00280DD9" w:rsidRPr="00B961D1" w14:paraId="0428951C" w14:textId="77777777" w:rsidTr="00381491">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319257ED"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交割月份第一个交易日</w:t>
            </w:r>
          </w:p>
        </w:tc>
        <w:tc>
          <w:tcPr>
            <w:tcW w:w="0" w:type="auto"/>
            <w:tcBorders>
              <w:top w:val="outset" w:sz="6" w:space="0" w:color="000000"/>
              <w:left w:val="outset" w:sz="6" w:space="0" w:color="000000"/>
              <w:bottom w:val="outset" w:sz="6" w:space="0" w:color="000000"/>
              <w:right w:val="outset" w:sz="6" w:space="0" w:color="000000"/>
            </w:tcBorders>
            <w:shd w:val="clear" w:color="auto" w:fill="FFFFFF"/>
            <w:vAlign w:val="center"/>
            <w:hideMark/>
          </w:tcPr>
          <w:p w14:paraId="5643DAAA"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合约价值的20%</w:t>
            </w:r>
          </w:p>
        </w:tc>
      </w:tr>
    </w:tbl>
    <w:p w14:paraId="23ED157C"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第六条 交易所可根据合约持仓量的增加提高交易保证金标准，并向市场公布。</w:t>
      </w:r>
    </w:p>
    <w:p w14:paraId="595E065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第七条 交易所可以分时间段根据合约持仓量的变化调整该合约的交易保证金。</w:t>
      </w:r>
    </w:p>
    <w:p w14:paraId="0727399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r w:rsidRPr="00B961D1">
        <w:rPr>
          <w:rFonts w:ascii="仿宋_GB2312" w:eastAsia="仿宋_GB2312" w:hAnsi="微软雅黑" w:hint="eastAsia"/>
          <w:color w:val="333333"/>
          <w:sz w:val="32"/>
          <w:szCs w:val="32"/>
        </w:rPr>
        <w:t>对于乙二醇期货合约，自交割月前一个月第一个交易日至该月第十四个交易日期间，若该期间内某日的上一交易日结算时该合约的单边持仓量大于120,000手，则自</w:t>
      </w:r>
      <w:r w:rsidRPr="00B961D1">
        <w:rPr>
          <w:rFonts w:ascii="仿宋_GB2312" w:eastAsia="仿宋_GB2312" w:hAnsi="&amp;quot" w:hint="eastAsia"/>
          <w:color w:val="333333"/>
          <w:sz w:val="32"/>
          <w:szCs w:val="32"/>
        </w:rPr>
        <w:t>该日起</w:t>
      </w:r>
      <w:r w:rsidRPr="00B961D1">
        <w:rPr>
          <w:rFonts w:ascii="仿宋_GB2312" w:eastAsia="仿宋_GB2312" w:hAnsi="微软雅黑" w:hint="eastAsia"/>
          <w:color w:val="333333"/>
          <w:sz w:val="32"/>
          <w:szCs w:val="32"/>
        </w:rPr>
        <w:t>该合约的交易保证金按照合约价值的10%收取，</w:t>
      </w:r>
      <w:r w:rsidRPr="00B961D1">
        <w:rPr>
          <w:rFonts w:ascii="仿宋_GB2312" w:eastAsia="仿宋_GB2312" w:hAnsi="&amp;quot" w:hint="eastAsia"/>
          <w:color w:val="333333"/>
          <w:sz w:val="32"/>
          <w:szCs w:val="32"/>
        </w:rPr>
        <w:t>直至该月第十四个交易日</w:t>
      </w:r>
      <w:r w:rsidRPr="00B961D1">
        <w:rPr>
          <w:rFonts w:ascii="仿宋_GB2312" w:eastAsia="仿宋_GB2312" w:hAnsi="微软雅黑" w:hint="eastAsia"/>
          <w:color w:val="333333"/>
          <w:sz w:val="32"/>
          <w:szCs w:val="32"/>
        </w:rPr>
        <w:t>。自交割月前一个月第十五个交易日至该月最后一个交易日期间，若该期间内某日的上一交易日结算时该合约的单边持仓量大于80,000手，则自</w:t>
      </w:r>
      <w:r w:rsidRPr="00B961D1">
        <w:rPr>
          <w:rFonts w:ascii="仿宋_GB2312" w:eastAsia="仿宋_GB2312" w:hAnsi="&amp;quot" w:hint="eastAsia"/>
          <w:color w:val="333333"/>
          <w:sz w:val="32"/>
          <w:szCs w:val="32"/>
        </w:rPr>
        <w:t>该日起</w:t>
      </w:r>
      <w:r w:rsidRPr="00B961D1">
        <w:rPr>
          <w:rFonts w:ascii="仿宋_GB2312" w:eastAsia="仿宋_GB2312" w:hAnsi="微软雅黑" w:hint="eastAsia"/>
          <w:color w:val="333333"/>
          <w:sz w:val="32"/>
          <w:szCs w:val="32"/>
        </w:rPr>
        <w:t>该合约的交易保证金按照合约价值的20%收取</w:t>
      </w:r>
      <w:r w:rsidRPr="00B961D1">
        <w:rPr>
          <w:rFonts w:ascii="仿宋_GB2312" w:eastAsia="仿宋_GB2312" w:hAnsi="&amp;quot" w:hint="eastAsia"/>
          <w:color w:val="333333"/>
          <w:sz w:val="32"/>
          <w:szCs w:val="32"/>
        </w:rPr>
        <w:t>，直至该月最后一个交易日</w:t>
      </w:r>
      <w:r w:rsidRPr="00B961D1">
        <w:rPr>
          <w:rFonts w:ascii="仿宋_GB2312" w:eastAsia="仿宋_GB2312" w:hAnsi="微软雅黑" w:hint="eastAsia"/>
          <w:color w:val="333333"/>
          <w:sz w:val="32"/>
          <w:szCs w:val="32"/>
        </w:rPr>
        <w:t>。</w:t>
      </w:r>
    </w:p>
    <w:p w14:paraId="06D814F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第八条 当某期货合约出现涨跌停板的情况，则该期货合约的交易保证金按本办法第三章的有关规定执行。</w:t>
      </w:r>
    </w:p>
    <w:p w14:paraId="2AAA194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第九条 当某期货合约连续三个交易日按结算价计算的涨（跌）幅之和达到合约规定的最大涨跌幅的2倍，连续四个交易日按结算价计算的涨（跌）幅之和达到合约规定的最大涨跌幅的2.5倍，连续五个交易日按结算价计算的涨（跌）幅之和达到合约规定的最大涨跌幅的3倍时，交易所有权根据市场情况，采取单边或双边、同比例或不同比例、部分会员或全部会员提高交易保证金的措施。提高交易保证金的幅度不高于合约规定交易保证金的1倍。</w:t>
      </w:r>
    </w:p>
    <w:p w14:paraId="5A98C42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交易所采取上述措施须事先报告中国证监会。</w:t>
      </w:r>
    </w:p>
    <w:p w14:paraId="31AA2D0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第十条 如遇法定节假日休市时间较长，交易所可以根据市场情况在休市前调整合约交易保证金标准和涨跌停板幅度。</w:t>
      </w:r>
    </w:p>
    <w:p w14:paraId="688EB1CC"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第十一条 交易所可以制定组合持仓的交易保证金标准。组合持仓是指按照交易所规定方式建立的符合条件的持仓组合。交易期间，非期货公司会员和客户可以通过交易所提供的套利交易指令下单和向交易所申请对符合条件的持仓进行组合确认两种方式建立组合持仓；结算时，交易所可以将符合条件的持仓按照一定规则自动组合成组合持仓。</w:t>
      </w:r>
    </w:p>
    <w:p w14:paraId="4547BEC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适用于组合持仓的品种、合约、组合类型、组合方式、组合优先级、交易保证金标准等，由交易所另行公布。交易所可以根据市场情况进行调整。</w:t>
      </w:r>
    </w:p>
    <w:p w14:paraId="6C6F49DC"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第十二条 交易期间建立的组合持仓，按前一个交易日结算时的组合持仓交易保证金标准收取保证金，保证金不足的按照《大连商品交易所结算管理办法》等规则规定执行。</w:t>
      </w:r>
    </w:p>
    <w:p w14:paraId="04716E24"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结算时，交易所对组合持仓按照当日公布的组合持仓交易保证金标准收取保证金。</w:t>
      </w:r>
    </w:p>
    <w:p w14:paraId="0E9B203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第十三条</w:t>
      </w: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 xml:space="preserve"> 同一交易编码持仓平仓，交易所在计算保证金时,视为</w:t>
      </w:r>
      <w:proofErr w:type="gramStart"/>
      <w:r w:rsidRPr="00B961D1">
        <w:rPr>
          <w:rFonts w:ascii="仿宋_GB2312" w:eastAsia="仿宋_GB2312" w:hAnsi="&amp;quot" w:cs="宋体" w:hint="eastAsia"/>
          <w:color w:val="333333"/>
          <w:kern w:val="0"/>
          <w:sz w:val="32"/>
          <w:szCs w:val="32"/>
        </w:rPr>
        <w:t>先平非组合</w:t>
      </w:r>
      <w:proofErr w:type="gramEnd"/>
      <w:r w:rsidRPr="00B961D1">
        <w:rPr>
          <w:rFonts w:ascii="仿宋_GB2312" w:eastAsia="仿宋_GB2312" w:hAnsi="&amp;quot" w:cs="宋体" w:hint="eastAsia"/>
          <w:color w:val="333333"/>
          <w:kern w:val="0"/>
          <w:sz w:val="32"/>
          <w:szCs w:val="32"/>
        </w:rPr>
        <w:t>持仓后平组合持仓，组合持仓内部按照组合优先级从低到高顺序进行平仓。</w:t>
      </w:r>
    </w:p>
    <w:p w14:paraId="703090BC"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第十四条 对同时满足本办法有关调整交易保证金规定的合约，其交易保证金按照规定交易保证金数值中的较大值收取。</w:t>
      </w:r>
    </w:p>
    <w:p w14:paraId="122D6E91"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第三章 涨跌停板制度</w:t>
      </w:r>
    </w:p>
    <w:p w14:paraId="73F7644C"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第十五条 交易所实行价格涨跌停板制度，由交易所制定各期货合约的每日最大价格波动幅度。交易所可以根据市场情况调整各合约涨跌停板幅度。</w:t>
      </w:r>
    </w:p>
    <w:p w14:paraId="74CFBD94"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对同时满足本办法有关调整涨跌停板幅度规定的合约，其涨跌停板幅度按照规定涨跌停板幅度数值中的较大值确定。</w:t>
      </w:r>
    </w:p>
    <w:p w14:paraId="60A8CE4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第十六条 各品种期货合约交割月份以前的月份涨跌停板幅度为上一交易日结算价的4%，交割月份的涨跌停板幅度为上一交易日结算价的6%。</w:t>
      </w:r>
    </w:p>
    <w:p w14:paraId="46FE48D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新上市期货合约的涨跌停板幅度为合约规定涨跌停板幅度的两倍，如合约有成交则于下一交易日恢复到合约规定的涨跌停板幅度；如合约无成交，则下一交易日继续执行前一交易日涨跌停板幅度。</w:t>
      </w:r>
    </w:p>
    <w:p w14:paraId="243D522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第十七条 当某期货合约以涨跌停板价格申报时，成交撮合原则实行平仓优先和时间优先的原则。</w:t>
      </w:r>
    </w:p>
    <w:p w14:paraId="5F8540D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第十八条 涨(跌)停板单边无连续报价是指某一期货合约在某一交易日收市前5分钟内出现只有停板价位的买入(卖出)申报、没有停板价位的卖出(买入)申报,或者一有卖出(买入)申报就成交、但未打开停板价位的情况。</w:t>
      </w:r>
    </w:p>
    <w:p w14:paraId="1614509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第十九条 当交易所上市的商品期货合约在某一交易日（该交易日记为第N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交易日，之后第1个、第2个、第3个交易日分别记为第N+1、第N+2、第N+3个交易日，以此类推）出现涨跌停板单边无连续报价的情况，则该</w:t>
      </w:r>
      <w:proofErr w:type="gramStart"/>
      <w:r w:rsidRPr="00B961D1">
        <w:rPr>
          <w:rFonts w:ascii="仿宋_GB2312" w:eastAsia="仿宋_GB2312" w:hAnsi="&amp;quot" w:cs="宋体" w:hint="eastAsia"/>
          <w:color w:val="333333"/>
          <w:kern w:val="0"/>
          <w:sz w:val="32"/>
          <w:szCs w:val="32"/>
        </w:rPr>
        <w:t>合约第</w:t>
      </w:r>
      <w:proofErr w:type="gramEnd"/>
      <w:r w:rsidRPr="00B961D1">
        <w:rPr>
          <w:rFonts w:ascii="仿宋_GB2312" w:eastAsia="仿宋_GB2312" w:hAnsi="&amp;quot" w:cs="宋体" w:hint="eastAsia"/>
          <w:color w:val="333333"/>
          <w:kern w:val="0"/>
          <w:sz w:val="32"/>
          <w:szCs w:val="32"/>
        </w:rPr>
        <w:t>N+1个交易日涨跌停板幅度在第N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交易日涨跌停板幅度的基础上增加3个百分点（例，如果第N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交易日涨跌停板幅度为前一交易日结算价的4%，则第N+1个交易日涨跌停板幅度则为第N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交易日结算价的7%，下同）。第N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交易日结算时，该合约交易保证金标准为在第N+1个交易日涨跌停板幅度的基础上增加2个百分点（例，如果第N+1个交易日涨跌停板幅度为第N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交易日结算价的7%，则第N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交易日结算时，该合约保证金标准为合约价值的9%，下同）。若该合约调整后的交易保证金标准低于第N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交易日前一交易日结算时的交易保证金标准，则按第N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交易日前一交易日结算时该合约交易保证金标准收取；若第N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交易日为该合约上市挂盘后第1个交易日，则该合约上市挂盘当日交易保证金标准视为该</w:t>
      </w:r>
      <w:proofErr w:type="gramStart"/>
      <w:r w:rsidRPr="00B961D1">
        <w:rPr>
          <w:rFonts w:ascii="仿宋_GB2312" w:eastAsia="仿宋_GB2312" w:hAnsi="&amp;quot" w:cs="宋体" w:hint="eastAsia"/>
          <w:color w:val="333333"/>
          <w:kern w:val="0"/>
          <w:sz w:val="32"/>
          <w:szCs w:val="32"/>
        </w:rPr>
        <w:t>合约第</w:t>
      </w:r>
      <w:proofErr w:type="gramEnd"/>
      <w:r w:rsidRPr="00B961D1">
        <w:rPr>
          <w:rFonts w:ascii="仿宋_GB2312" w:eastAsia="仿宋_GB2312" w:hAnsi="&amp;quot" w:cs="宋体" w:hint="eastAsia"/>
          <w:color w:val="333333"/>
          <w:kern w:val="0"/>
          <w:sz w:val="32"/>
          <w:szCs w:val="32"/>
        </w:rPr>
        <w:t>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交易日前一交易日结算时的交易保证金标准。</w:t>
      </w:r>
    </w:p>
    <w:p w14:paraId="24639ED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若第N+1个交易日出现与第N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交易日同方向涨跌停板单边无连续报价的情况，则该</w:t>
      </w:r>
      <w:proofErr w:type="gramStart"/>
      <w:r w:rsidRPr="00B961D1">
        <w:rPr>
          <w:rFonts w:ascii="仿宋_GB2312" w:eastAsia="仿宋_GB2312" w:hAnsi="&amp;quot" w:cs="宋体" w:hint="eastAsia"/>
          <w:color w:val="333333"/>
          <w:kern w:val="0"/>
          <w:sz w:val="32"/>
          <w:szCs w:val="32"/>
        </w:rPr>
        <w:t>合约第</w:t>
      </w:r>
      <w:proofErr w:type="gramEnd"/>
      <w:r w:rsidRPr="00B961D1">
        <w:rPr>
          <w:rFonts w:ascii="仿宋_GB2312" w:eastAsia="仿宋_GB2312" w:hAnsi="&amp;quot" w:cs="宋体" w:hint="eastAsia"/>
          <w:color w:val="333333"/>
          <w:kern w:val="0"/>
          <w:sz w:val="32"/>
          <w:szCs w:val="32"/>
        </w:rPr>
        <w:t>N+2个交易日涨跌停板幅度在第N+1个交易日涨跌停板幅度的基础上增加2个百分点。第N+1个交易日结算时，该合约交易保证金标准为在第N+2个交易日涨跌停板幅度的基础上增加2个百分点。若该合约调整后的交易保证金标准低于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交易日结算时的交易保证金标准，则按第N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交易日结算时该合约的交易保证金标准收取。</w:t>
      </w:r>
    </w:p>
    <w:p w14:paraId="1CD0B77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第N+2个及以后交易日出现与第N+1个交易日同方向涨跌停板单边无连续报价情况，则从第N+3个交易日开始，涨跌停板幅度和交易保证金标准与第N+2个交易日一致，直至合约不再出现同方向涨跌停板单边无连续报价的情况。</w:t>
      </w:r>
    </w:p>
    <w:p w14:paraId="0E1ABCD4"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第二十条 当第N+1个及以后交易日出现与前一交易日反方向涨跌停板单边无连续报价的情况，则该交易日</w:t>
      </w:r>
      <w:proofErr w:type="gramStart"/>
      <w:r w:rsidRPr="00B961D1">
        <w:rPr>
          <w:rFonts w:ascii="仿宋_GB2312" w:eastAsia="仿宋_GB2312" w:hAnsi="&amp;quot" w:cs="宋体" w:hint="eastAsia"/>
          <w:color w:val="333333"/>
          <w:kern w:val="0"/>
          <w:sz w:val="32"/>
          <w:szCs w:val="32"/>
        </w:rPr>
        <w:t>视为第</w:t>
      </w:r>
      <w:proofErr w:type="gramEnd"/>
      <w:r w:rsidRPr="00B961D1">
        <w:rPr>
          <w:rFonts w:ascii="仿宋_GB2312" w:eastAsia="仿宋_GB2312" w:hAnsi="&amp;quot" w:cs="宋体" w:hint="eastAsia"/>
          <w:color w:val="333333"/>
          <w:kern w:val="0"/>
          <w:sz w:val="32"/>
          <w:szCs w:val="32"/>
        </w:rPr>
        <w:t>N</w:t>
      </w:r>
      <w:proofErr w:type="gramStart"/>
      <w:r w:rsidRPr="00B961D1">
        <w:rPr>
          <w:rFonts w:ascii="仿宋_GB2312" w:eastAsia="仿宋_GB2312" w:hAnsi="&amp;quot" w:cs="宋体" w:hint="eastAsia"/>
          <w:color w:val="333333"/>
          <w:kern w:val="0"/>
          <w:sz w:val="32"/>
          <w:szCs w:val="32"/>
        </w:rPr>
        <w:t>个</w:t>
      </w:r>
      <w:proofErr w:type="gramEnd"/>
      <w:r w:rsidRPr="00B961D1">
        <w:rPr>
          <w:rFonts w:ascii="仿宋_GB2312" w:eastAsia="仿宋_GB2312" w:hAnsi="&amp;quot" w:cs="宋体" w:hint="eastAsia"/>
          <w:color w:val="333333"/>
          <w:kern w:val="0"/>
          <w:sz w:val="32"/>
          <w:szCs w:val="32"/>
        </w:rPr>
        <w:t>交易日。</w:t>
      </w:r>
    </w:p>
    <w:p w14:paraId="32CAC2C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第二十一条 当第N+1个及以后交易日未出现涨跌停板单边无连续报价的情况，则该交易日结算时交易保证金恢复到正常水平，下一交易日的涨跌停板幅度恢复到正常水平。</w:t>
      </w:r>
    </w:p>
    <w:p w14:paraId="279ECA6C"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第二十二条 若某期货合约在第N+2个交易日出现与第N+1个交易日同方向涨跌停板单边无连续报价的情况时，若第N+2个交易日是该期货合约的最后交易日，则该合约直接进入交割；若第N+3个交易日是该期货合约的最后交易日，则第N+3个交易日该合约按第N+2个交易日的涨跌停板和保证金水平继续交易。除上述两种情况之外，交易所可在第N+2个交易日收市后决定并公告，对该合约实施下列措施中的一种或多种化解市场风险：</w:t>
      </w:r>
    </w:p>
    <w:p w14:paraId="11C8565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（一）单边或双边、同比例或不同比例、部分会员或全部会员提高交易保证金；</w:t>
      </w:r>
    </w:p>
    <w:p w14:paraId="4DA44D6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（二）调整涨跌停板幅度；</w:t>
      </w:r>
    </w:p>
    <w:p w14:paraId="333A1214"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（三）暂停部分会员或全部会员开新仓；</w:t>
      </w:r>
    </w:p>
    <w:p w14:paraId="55D462C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（四）限制出金；</w:t>
      </w:r>
    </w:p>
    <w:p w14:paraId="4FDF54F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（五）限期平仓；</w:t>
      </w:r>
    </w:p>
    <w:p w14:paraId="45CCA48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（六）强行平仓；</w:t>
      </w:r>
    </w:p>
    <w:p w14:paraId="56D0025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（七）在第N+2个交易日收市后强制减仓。</w:t>
      </w:r>
    </w:p>
    <w:p w14:paraId="04F5B74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第二十三条 强制减仓是指交易所将当日以涨跌停板价申报的未成交平仓报单,以当日涨跌停板价与该合约净持仓盈利客户(或非期货公司会员，下同)按持仓比例自动撮合成交。同一客户持有双向头寸, 则其净持仓部分的平仓报单参与强制减仓计算，其余平仓报单与其对锁持仓自动对冲。具体强制减</w:t>
      </w:r>
      <w:proofErr w:type="gramStart"/>
      <w:r w:rsidRPr="00B961D1">
        <w:rPr>
          <w:rFonts w:ascii="仿宋_GB2312" w:eastAsia="仿宋_GB2312" w:hAnsi="&amp;quot" w:cs="宋体" w:hint="eastAsia"/>
          <w:color w:val="333333"/>
          <w:kern w:val="0"/>
          <w:sz w:val="32"/>
          <w:szCs w:val="32"/>
        </w:rPr>
        <w:t>仓方法</w:t>
      </w:r>
      <w:proofErr w:type="gramEnd"/>
      <w:r w:rsidRPr="00B961D1">
        <w:rPr>
          <w:rFonts w:ascii="仿宋_GB2312" w:eastAsia="仿宋_GB2312" w:hAnsi="&amp;quot" w:cs="宋体" w:hint="eastAsia"/>
          <w:color w:val="333333"/>
          <w:kern w:val="0"/>
          <w:sz w:val="32"/>
          <w:szCs w:val="32"/>
        </w:rPr>
        <w:t>如下：</w:t>
      </w:r>
    </w:p>
    <w:p w14:paraId="61847D6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（一）申报平仓数量的确定:</w:t>
      </w:r>
    </w:p>
    <w:p w14:paraId="32CAA544"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在第N +2个交易日收市后,已在计算机系统中以涨跌停板价申报无法成交的、且客户合约的单位净持仓亏损大于或等于第N +2个交易日结算价的5%（棕榈油合约标准为4%）的所有持仓。</w:t>
      </w:r>
    </w:p>
    <w:p w14:paraId="2332EFE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若客户不愿按上述方法平仓可在收市前撤单,不作为申报的平仓报单。</w:t>
      </w:r>
    </w:p>
    <w:p w14:paraId="742B493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（二）客户单位净持仓盈亏的确定:</w:t>
      </w:r>
    </w:p>
    <w:p w14:paraId="3BA48EF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 xml:space="preserve"> </w:t>
      </w:r>
      <w:r w:rsidRPr="00B961D1">
        <w:rPr>
          <w:rFonts w:ascii="仿宋_GB2312" w:eastAsia="仿宋_GB2312" w:hAnsi="&amp;quot" w:cs="宋体" w:hint="eastAsia"/>
          <w:color w:val="333333"/>
          <w:kern w:val="0"/>
          <w:sz w:val="32"/>
          <w:szCs w:val="32"/>
        </w:rPr>
        <w:t> </w:t>
      </w:r>
      <w:r>
        <w:rPr>
          <w:rFonts w:ascii="仿宋_GB2312" w:eastAsia="仿宋_GB2312" w:hAnsi="&amp;quot" w:cs="宋体"/>
          <w:color w:val="333333"/>
          <w:kern w:val="0"/>
          <w:sz w:val="32"/>
          <w:szCs w:val="32"/>
        </w:rPr>
        <w:t xml:space="preserve">  </w:t>
      </w:r>
      <w:r w:rsidRPr="00B961D1">
        <w:rPr>
          <w:rFonts w:ascii="仿宋_GB2312" w:eastAsia="仿宋_GB2312" w:hAnsi="&amp;quot" w:cs="宋体" w:hint="eastAsia"/>
          <w:color w:val="333333"/>
          <w:kern w:val="0"/>
          <w:sz w:val="32"/>
          <w:szCs w:val="32"/>
        </w:rPr>
        <w:t>客户该合约持仓盈亏总和</w:t>
      </w:r>
    </w:p>
    <w:p w14:paraId="330D2E0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客户该合约单位净持仓盈亏= ──────────</w:t>
      </w:r>
    </w:p>
    <w:p w14:paraId="1BABF1B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 xml:space="preserve"> </w:t>
      </w:r>
      <w:r>
        <w:rPr>
          <w:rFonts w:ascii="仿宋_GB2312" w:eastAsia="仿宋_GB2312" w:hAnsi="&amp;quot" w:cs="宋体"/>
          <w:color w:val="333333"/>
          <w:kern w:val="0"/>
          <w:sz w:val="32"/>
          <w:szCs w:val="32"/>
        </w:rPr>
        <w:t xml:space="preserve"> </w:t>
      </w:r>
      <w:bookmarkStart w:id="0" w:name="_GoBack"/>
      <w:bookmarkEnd w:id="0"/>
      <w:r w:rsidRPr="00B961D1">
        <w:rPr>
          <w:rFonts w:ascii="仿宋_GB2312" w:eastAsia="仿宋_GB2312" w:hAnsi="&amp;quot" w:cs="宋体" w:hint="eastAsia"/>
          <w:color w:val="333333"/>
          <w:kern w:val="0"/>
          <w:sz w:val="32"/>
          <w:szCs w:val="32"/>
        </w:rPr>
        <w:t>客户该合约净持仓量×交易单位</w:t>
      </w:r>
    </w:p>
    <w:p w14:paraId="2E6539F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客户该合约持仓盈亏总和，是指客户该合约的全部持仓按其实际成交价与当日结算价之差计算的盈亏总和。</w:t>
      </w:r>
    </w:p>
    <w:p w14:paraId="7C6DD14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（三）净持仓盈利客户平仓范围的确定:</w:t>
      </w:r>
    </w:p>
    <w:p w14:paraId="1C02B07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根据上述方法计算的客户单位净持仓盈利大于零的客户的所有投机持仓以及客户单位净持仓盈利大于或等于第N +2个交易日结算价的7%的保值持仓都列入平仓范围。</w:t>
      </w:r>
    </w:p>
    <w:p w14:paraId="2E38A21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（四）平仓数量的分配原则及方法:</w:t>
      </w:r>
    </w:p>
    <w:p w14:paraId="4DAE420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 平仓数量的分配原则</w:t>
      </w:r>
    </w:p>
    <w:p w14:paraId="312847A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（1）在平仓范围内按盈利的大小和投机与保值的不同分成四级,逐级进行分配。</w:t>
      </w:r>
    </w:p>
    <w:p w14:paraId="7150EF0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首先分配给属平仓范围内单位净持仓盈利大于或等于第N+2个交易日结算价的6%以上的投机持仓（以下简称盈利6%以上的投机持仓）;</w:t>
      </w:r>
    </w:p>
    <w:p w14:paraId="48F01127"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其次分配给单位净持仓盈利大于或等于第N+2个交易日结算价的3%以上而小于6%的投机持仓（以下简称盈利3%以上的投机持仓）;</w:t>
      </w:r>
    </w:p>
    <w:p w14:paraId="3CCEE50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再次分配给单位净持仓盈利</w:t>
      </w:r>
      <w:proofErr w:type="gramStart"/>
      <w:r w:rsidRPr="00B961D1">
        <w:rPr>
          <w:rFonts w:ascii="仿宋_GB2312" w:eastAsia="仿宋_GB2312" w:hAnsi="&amp;quot" w:cs="宋体" w:hint="eastAsia"/>
          <w:color w:val="333333"/>
          <w:kern w:val="0"/>
          <w:sz w:val="32"/>
          <w:szCs w:val="32"/>
        </w:rPr>
        <w:t>小于第</w:t>
      </w:r>
      <w:proofErr w:type="gramEnd"/>
      <w:r w:rsidRPr="00B961D1">
        <w:rPr>
          <w:rFonts w:ascii="仿宋_GB2312" w:eastAsia="仿宋_GB2312" w:hAnsi="&amp;quot" w:cs="宋体" w:hint="eastAsia"/>
          <w:color w:val="333333"/>
          <w:kern w:val="0"/>
          <w:sz w:val="32"/>
          <w:szCs w:val="32"/>
        </w:rPr>
        <w:t>N+2个交易日结算价的3%而大于零的投机持仓（以下简称盈利大于零的投机持仓）;</w:t>
      </w:r>
    </w:p>
    <w:p w14:paraId="6834170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最后分配给单位净持仓盈利大于或等于第N+2个交易日结算价的7%的保值持仓（以下简称盈利7%保值持仓）。</w:t>
      </w:r>
    </w:p>
    <w:p w14:paraId="316536B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（2）以上各级分配比例均按申报平仓数量(剩余申报平仓数量)与各级可平仓的盈利持仓数量之比进行分配。</w:t>
      </w:r>
    </w:p>
    <w:p w14:paraId="12F036D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 平仓数量的分配方法及步骤:</w:t>
      </w:r>
    </w:p>
    <w:p w14:paraId="24757AD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若单位净持仓盈利6%以上的投机持仓数量大于或等于申报平仓数量,则根据申报平仓数量与单位净持仓盈利6%以上的投机持仓数量的比例,将申报平仓数量向单位净持仓盈利6%以上的投机持仓分配</w:t>
      </w:r>
      <w:proofErr w:type="gramStart"/>
      <w:r w:rsidRPr="00B961D1">
        <w:rPr>
          <w:rFonts w:ascii="仿宋_GB2312" w:eastAsia="仿宋_GB2312" w:hAnsi="&amp;quot" w:cs="宋体" w:hint="eastAsia"/>
          <w:color w:val="333333"/>
          <w:kern w:val="0"/>
          <w:sz w:val="32"/>
          <w:szCs w:val="32"/>
        </w:rPr>
        <w:t>实际平仓</w:t>
      </w:r>
      <w:proofErr w:type="gramEnd"/>
      <w:r w:rsidRPr="00B961D1">
        <w:rPr>
          <w:rFonts w:ascii="仿宋_GB2312" w:eastAsia="仿宋_GB2312" w:hAnsi="&amp;quot" w:cs="宋体" w:hint="eastAsia"/>
          <w:color w:val="333333"/>
          <w:kern w:val="0"/>
          <w:sz w:val="32"/>
          <w:szCs w:val="32"/>
        </w:rPr>
        <w:t>数量;</w:t>
      </w:r>
    </w:p>
    <w:p w14:paraId="49F6CA5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若单位净持仓盈利6%以上的投机持仓数量小于申报平仓数量, 则根据单位净持仓盈利6%以上的投机持仓数量与申报平仓数量的比例，将单位净持仓盈利6%以上的投机持仓数量向申报平仓客户分配</w:t>
      </w:r>
      <w:proofErr w:type="gramStart"/>
      <w:r w:rsidRPr="00B961D1">
        <w:rPr>
          <w:rFonts w:ascii="仿宋_GB2312" w:eastAsia="仿宋_GB2312" w:hAnsi="&amp;quot" w:cs="宋体" w:hint="eastAsia"/>
          <w:color w:val="333333"/>
          <w:kern w:val="0"/>
          <w:sz w:val="32"/>
          <w:szCs w:val="32"/>
        </w:rPr>
        <w:t>实际平仓</w:t>
      </w:r>
      <w:proofErr w:type="gramEnd"/>
      <w:r w:rsidRPr="00B961D1">
        <w:rPr>
          <w:rFonts w:ascii="仿宋_GB2312" w:eastAsia="仿宋_GB2312" w:hAnsi="&amp;quot" w:cs="宋体" w:hint="eastAsia"/>
          <w:color w:val="333333"/>
          <w:kern w:val="0"/>
          <w:sz w:val="32"/>
          <w:szCs w:val="32"/>
        </w:rPr>
        <w:t>数量。再把剩余的申报平仓数量按上述的分配方法向单位净持仓盈利3%以上的投机持仓分配;若还有剩余,则再向单位净持仓盈利大于零的投机持仓分配;若还有剩余,则再向单位净持仓盈利7%的保值持仓分配。若还有剩余则</w:t>
      </w:r>
      <w:proofErr w:type="gramStart"/>
      <w:r w:rsidRPr="00B961D1">
        <w:rPr>
          <w:rFonts w:ascii="仿宋_GB2312" w:eastAsia="仿宋_GB2312" w:hAnsi="&amp;quot" w:cs="宋体" w:hint="eastAsia"/>
          <w:color w:val="333333"/>
          <w:kern w:val="0"/>
          <w:sz w:val="32"/>
          <w:szCs w:val="32"/>
        </w:rPr>
        <w:t>不</w:t>
      </w:r>
      <w:proofErr w:type="gramEnd"/>
      <w:r w:rsidRPr="00B961D1">
        <w:rPr>
          <w:rFonts w:ascii="仿宋_GB2312" w:eastAsia="仿宋_GB2312" w:hAnsi="&amp;quot" w:cs="宋体" w:hint="eastAsia"/>
          <w:color w:val="333333"/>
          <w:kern w:val="0"/>
          <w:sz w:val="32"/>
          <w:szCs w:val="32"/>
        </w:rPr>
        <w:t>再分配。</w:t>
      </w:r>
    </w:p>
    <w:p w14:paraId="1BBE7BC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分配平</w:t>
      </w:r>
      <w:proofErr w:type="gramStart"/>
      <w:r w:rsidRPr="00B961D1">
        <w:rPr>
          <w:rFonts w:ascii="仿宋_GB2312" w:eastAsia="仿宋_GB2312" w:hAnsi="&amp;quot" w:cs="宋体" w:hint="eastAsia"/>
          <w:color w:val="333333"/>
          <w:kern w:val="0"/>
          <w:sz w:val="32"/>
          <w:szCs w:val="32"/>
        </w:rPr>
        <w:t>仓数量</w:t>
      </w:r>
      <w:proofErr w:type="gramEnd"/>
      <w:r w:rsidRPr="00B961D1">
        <w:rPr>
          <w:rFonts w:ascii="仿宋_GB2312" w:eastAsia="仿宋_GB2312" w:hAnsi="&amp;quot" w:cs="宋体" w:hint="eastAsia"/>
          <w:color w:val="333333"/>
          <w:kern w:val="0"/>
          <w:sz w:val="32"/>
          <w:szCs w:val="32"/>
        </w:rPr>
        <w:t>以“手”为单位,不足一手的按如下方法计算：首先对每个交易编码所分配到的平仓数量的整数部分进行分配，然后按小数部分由大到小的顺序“进位取整”进行分配。</w:t>
      </w:r>
    </w:p>
    <w:p w14:paraId="75A0206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（五）强制减仓的执行</w:t>
      </w:r>
    </w:p>
    <w:p w14:paraId="1B08848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强制减仓于第N +2个交易日收市后由交易系统按强制减</w:t>
      </w:r>
      <w:proofErr w:type="gramStart"/>
      <w:r w:rsidRPr="00B961D1">
        <w:rPr>
          <w:rFonts w:ascii="仿宋_GB2312" w:eastAsia="仿宋_GB2312" w:hAnsi="&amp;quot" w:cs="宋体" w:hint="eastAsia"/>
          <w:color w:val="333333"/>
          <w:kern w:val="0"/>
          <w:sz w:val="32"/>
          <w:szCs w:val="32"/>
        </w:rPr>
        <w:t>仓原则</w:t>
      </w:r>
      <w:proofErr w:type="gramEnd"/>
      <w:r w:rsidRPr="00B961D1">
        <w:rPr>
          <w:rFonts w:ascii="仿宋_GB2312" w:eastAsia="仿宋_GB2312" w:hAnsi="&amp;quot" w:cs="宋体" w:hint="eastAsia"/>
          <w:color w:val="333333"/>
          <w:kern w:val="0"/>
          <w:sz w:val="32"/>
          <w:szCs w:val="32"/>
        </w:rPr>
        <w:t>自动执行，强制减</w:t>
      </w:r>
      <w:proofErr w:type="gramStart"/>
      <w:r w:rsidRPr="00B961D1">
        <w:rPr>
          <w:rFonts w:ascii="仿宋_GB2312" w:eastAsia="仿宋_GB2312" w:hAnsi="&amp;quot" w:cs="宋体" w:hint="eastAsia"/>
          <w:color w:val="333333"/>
          <w:kern w:val="0"/>
          <w:sz w:val="32"/>
          <w:szCs w:val="32"/>
        </w:rPr>
        <w:t>仓结果</w:t>
      </w:r>
      <w:proofErr w:type="gramEnd"/>
      <w:r w:rsidRPr="00B961D1">
        <w:rPr>
          <w:rFonts w:ascii="仿宋_GB2312" w:eastAsia="仿宋_GB2312" w:hAnsi="&amp;quot" w:cs="宋体" w:hint="eastAsia"/>
          <w:color w:val="333333"/>
          <w:kern w:val="0"/>
          <w:sz w:val="32"/>
          <w:szCs w:val="32"/>
        </w:rPr>
        <w:t>作为第N +2个交易日会员的交易结果。</w:t>
      </w:r>
    </w:p>
    <w:p w14:paraId="30D04EC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（六）强制减仓的价格</w:t>
      </w:r>
    </w:p>
    <w:p w14:paraId="426A590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强制减仓的价格为该</w:t>
      </w:r>
      <w:proofErr w:type="gramStart"/>
      <w:r w:rsidRPr="00B961D1">
        <w:rPr>
          <w:rFonts w:ascii="仿宋_GB2312" w:eastAsia="仿宋_GB2312" w:hAnsi="&amp;quot" w:cs="宋体" w:hint="eastAsia"/>
          <w:color w:val="333333"/>
          <w:kern w:val="0"/>
          <w:sz w:val="32"/>
          <w:szCs w:val="32"/>
        </w:rPr>
        <w:t>合约第</w:t>
      </w:r>
      <w:proofErr w:type="gramEnd"/>
      <w:r w:rsidRPr="00B961D1">
        <w:rPr>
          <w:rFonts w:ascii="仿宋_GB2312" w:eastAsia="仿宋_GB2312" w:hAnsi="&amp;quot" w:cs="宋体" w:hint="eastAsia"/>
          <w:color w:val="333333"/>
          <w:kern w:val="0"/>
          <w:sz w:val="32"/>
          <w:szCs w:val="32"/>
        </w:rPr>
        <w:t>N +2个交易日的涨(跌)停板价。</w:t>
      </w:r>
    </w:p>
    <w:p w14:paraId="04E5E7E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（七）由上述减</w:t>
      </w:r>
      <w:proofErr w:type="gramStart"/>
      <w:r w:rsidRPr="00B961D1">
        <w:rPr>
          <w:rFonts w:ascii="仿宋_GB2312" w:eastAsia="仿宋_GB2312" w:hAnsi="&amp;quot" w:cs="宋体" w:hint="eastAsia"/>
          <w:color w:val="333333"/>
          <w:kern w:val="0"/>
          <w:sz w:val="32"/>
          <w:szCs w:val="32"/>
        </w:rPr>
        <w:t>仓造成</w:t>
      </w:r>
      <w:proofErr w:type="gramEnd"/>
      <w:r w:rsidRPr="00B961D1">
        <w:rPr>
          <w:rFonts w:ascii="仿宋_GB2312" w:eastAsia="仿宋_GB2312" w:hAnsi="&amp;quot" w:cs="宋体" w:hint="eastAsia"/>
          <w:color w:val="333333"/>
          <w:kern w:val="0"/>
          <w:sz w:val="32"/>
          <w:szCs w:val="32"/>
        </w:rPr>
        <w:t>的经济损失由会员、境外经纪机构及客户承担。</w:t>
      </w:r>
    </w:p>
    <w:p w14:paraId="02FEC05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第二十四条 该合约在采取上述措施后</w:t>
      </w:r>
      <w:proofErr w:type="gramStart"/>
      <w:r w:rsidRPr="00B961D1">
        <w:rPr>
          <w:rFonts w:ascii="仿宋_GB2312" w:eastAsia="仿宋_GB2312" w:hAnsi="&amp;quot" w:cs="宋体" w:hint="eastAsia"/>
          <w:color w:val="333333"/>
          <w:kern w:val="0"/>
          <w:sz w:val="32"/>
          <w:szCs w:val="32"/>
        </w:rPr>
        <w:t>若风险</w:t>
      </w:r>
      <w:proofErr w:type="gramEnd"/>
      <w:r w:rsidRPr="00B961D1">
        <w:rPr>
          <w:rFonts w:ascii="仿宋_GB2312" w:eastAsia="仿宋_GB2312" w:hAnsi="&amp;quot" w:cs="宋体" w:hint="eastAsia"/>
          <w:color w:val="333333"/>
          <w:kern w:val="0"/>
          <w:sz w:val="32"/>
          <w:szCs w:val="32"/>
        </w:rPr>
        <w:t>仍未释放，则交易所宣布为异常情况，并按有关规定采取风险控制措施。</w:t>
      </w:r>
    </w:p>
    <w:p w14:paraId="0225BCA0"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第四章 限仓制度</w:t>
      </w:r>
    </w:p>
    <w:p w14:paraId="7CC1F2A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第二十五条 交易所实行限仓制度。限仓是指交易所规定会员或客户可以持有的，按单边计算的某一合约投机头寸的最大数额。具有实际控制关系的客户和非期货公司会员的持仓合并计算。</w:t>
      </w:r>
    </w:p>
    <w:p w14:paraId="37861DA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第二十六条 限仓实行以下基本制度：</w:t>
      </w:r>
    </w:p>
    <w:p w14:paraId="2F2C0B6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（一）根据不同期货品种的具体情况，分别确定每一品种每一月份期货合约的限仓数额；</w:t>
      </w:r>
    </w:p>
    <w:p w14:paraId="47BE145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（二）某一月份期货合约在其交易过程中的不同阶段，分别适用不同的限仓数额，进入交割月份的期货合约限仓数额从严控制；</w:t>
      </w:r>
    </w:p>
    <w:p w14:paraId="621ED74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（三）套期保值、套利持仓根据《大连商品交易所套期保值管理办法》、《大连商品交易所套利交易管理办法》等有关规定进行管理；</w:t>
      </w:r>
    </w:p>
    <w:p w14:paraId="54355C77" w14:textId="77777777" w:rsidR="00280DD9" w:rsidRPr="00B961D1" w:rsidRDefault="00280DD9" w:rsidP="00280DD9">
      <w:pPr>
        <w:widowControl/>
        <w:shd w:val="clear" w:color="auto" w:fill="FFFFFF"/>
        <w:ind w:firstLineChars="200" w:firstLine="640"/>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（四）做市商持仓根据《大连商品交易所做市商管理办法》等有关规定进行管理。</w:t>
      </w:r>
    </w:p>
    <w:p w14:paraId="1E29186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第二十七条 同一客户在不同期货公司会员处开有多个交易编码，各交易编码上所有持</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寸的合计数，不得超出一个客户的限仓数额。</w:t>
      </w:r>
    </w:p>
    <w:p w14:paraId="2998D7D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第二十八条</w:t>
      </w: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 xml:space="preserve"> 非期货公司会员和客户采取如下限仓要求：</w:t>
      </w:r>
    </w:p>
    <w:p w14:paraId="679E33F1" w14:textId="77777777" w:rsidR="00280DD9" w:rsidRPr="00B961D1" w:rsidRDefault="00280DD9" w:rsidP="00280DD9">
      <w:pPr>
        <w:widowControl/>
        <w:shd w:val="clear" w:color="auto" w:fill="FFFFFF"/>
        <w:ind w:firstLine="660"/>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鸡蛋、乙二醇以外品种期货合约上市交易的一般月份（合约上市至交割月份前一个月第十四个交易日）期间，当该合约的单边持仓量大于一定数量时，非期货公司会员和客户按单边持仓量的一定比例确定限仓数额；在该合约的单边持仓量小于等于该数量时，非期货公司会员和客户该合约限仓数额以绝对</w:t>
      </w:r>
      <w:proofErr w:type="gramStart"/>
      <w:r w:rsidRPr="00B961D1">
        <w:rPr>
          <w:rFonts w:ascii="仿宋_GB2312" w:eastAsia="仿宋_GB2312" w:hAnsi="&amp;quot" w:cs="宋体" w:hint="eastAsia"/>
          <w:color w:val="333333"/>
          <w:kern w:val="0"/>
          <w:sz w:val="32"/>
          <w:szCs w:val="32"/>
        </w:rPr>
        <w:t>量方式</w:t>
      </w:r>
      <w:proofErr w:type="gramEnd"/>
      <w:r w:rsidRPr="00B961D1">
        <w:rPr>
          <w:rFonts w:ascii="仿宋_GB2312" w:eastAsia="仿宋_GB2312" w:hAnsi="&amp;quot" w:cs="宋体" w:hint="eastAsia"/>
          <w:color w:val="333333"/>
          <w:kern w:val="0"/>
          <w:sz w:val="32"/>
          <w:szCs w:val="32"/>
        </w:rPr>
        <w:t>规定。在期货合约进入交割月份前一个月第十五个交易日至交割月期间，非期货公司会员和客户限仓数额以绝对</w:t>
      </w:r>
      <w:proofErr w:type="gramStart"/>
      <w:r w:rsidRPr="00B961D1">
        <w:rPr>
          <w:rFonts w:ascii="仿宋_GB2312" w:eastAsia="仿宋_GB2312" w:hAnsi="&amp;quot" w:cs="宋体" w:hint="eastAsia"/>
          <w:color w:val="333333"/>
          <w:kern w:val="0"/>
          <w:sz w:val="32"/>
          <w:szCs w:val="32"/>
        </w:rPr>
        <w:t>量方式</w:t>
      </w:r>
      <w:proofErr w:type="gramEnd"/>
      <w:r w:rsidRPr="00B961D1">
        <w:rPr>
          <w:rFonts w:ascii="仿宋_GB2312" w:eastAsia="仿宋_GB2312" w:hAnsi="&amp;quot" w:cs="宋体" w:hint="eastAsia"/>
          <w:color w:val="333333"/>
          <w:kern w:val="0"/>
          <w:sz w:val="32"/>
          <w:szCs w:val="32"/>
        </w:rPr>
        <w:t>规定。鸡蛋品种非期货公司会员和客户的限仓数额以绝对</w:t>
      </w:r>
      <w:proofErr w:type="gramStart"/>
      <w:r w:rsidRPr="00B961D1">
        <w:rPr>
          <w:rFonts w:ascii="仿宋_GB2312" w:eastAsia="仿宋_GB2312" w:hAnsi="&amp;quot" w:cs="宋体" w:hint="eastAsia"/>
          <w:color w:val="333333"/>
          <w:kern w:val="0"/>
          <w:sz w:val="32"/>
          <w:szCs w:val="32"/>
        </w:rPr>
        <w:t>量方式</w:t>
      </w:r>
      <w:proofErr w:type="gramEnd"/>
      <w:r w:rsidRPr="00B961D1">
        <w:rPr>
          <w:rFonts w:ascii="仿宋_GB2312" w:eastAsia="仿宋_GB2312" w:hAnsi="&amp;quot" w:cs="宋体" w:hint="eastAsia"/>
          <w:color w:val="333333"/>
          <w:kern w:val="0"/>
          <w:sz w:val="32"/>
          <w:szCs w:val="32"/>
        </w:rPr>
        <w:t>规定。乙二醇品种非期货公司会员和客户的限仓数额，在合约上市至交割月前一个月最后一个交易日期间根据合约的单边持仓量规定；交割月期间以绝对</w:t>
      </w:r>
      <w:proofErr w:type="gramStart"/>
      <w:r w:rsidRPr="00B961D1">
        <w:rPr>
          <w:rFonts w:ascii="仿宋_GB2312" w:eastAsia="仿宋_GB2312" w:hAnsi="&amp;quot" w:cs="宋体" w:hint="eastAsia"/>
          <w:color w:val="333333"/>
          <w:kern w:val="0"/>
          <w:sz w:val="32"/>
          <w:szCs w:val="32"/>
        </w:rPr>
        <w:t>量方式</w:t>
      </w:r>
      <w:proofErr w:type="gramEnd"/>
      <w:r w:rsidRPr="00B961D1">
        <w:rPr>
          <w:rFonts w:ascii="仿宋_GB2312" w:eastAsia="仿宋_GB2312" w:hAnsi="&amp;quot" w:cs="宋体" w:hint="eastAsia"/>
          <w:color w:val="333333"/>
          <w:kern w:val="0"/>
          <w:sz w:val="32"/>
          <w:szCs w:val="32"/>
        </w:rPr>
        <w:t>规定。</w:t>
      </w:r>
    </w:p>
    <w:p w14:paraId="3B3B8BA7" w14:textId="77777777" w:rsidR="00280DD9" w:rsidRPr="00B961D1" w:rsidRDefault="00280DD9" w:rsidP="00280DD9">
      <w:pPr>
        <w:widowControl/>
        <w:shd w:val="clear" w:color="auto" w:fill="FFFFFF"/>
        <w:ind w:firstLine="660"/>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合约在某一交易时间段的限仓数额自该交易时间段</w:t>
      </w:r>
      <w:proofErr w:type="gramStart"/>
      <w:r w:rsidRPr="00B961D1">
        <w:rPr>
          <w:rFonts w:ascii="仿宋_GB2312" w:eastAsia="仿宋_GB2312" w:hAnsi="&amp;quot" w:cs="宋体" w:hint="eastAsia"/>
          <w:color w:val="333333"/>
          <w:kern w:val="0"/>
          <w:sz w:val="32"/>
          <w:szCs w:val="32"/>
        </w:rPr>
        <w:t>起始日前</w:t>
      </w:r>
      <w:proofErr w:type="gramEnd"/>
      <w:r w:rsidRPr="00B961D1">
        <w:rPr>
          <w:rFonts w:ascii="仿宋_GB2312" w:eastAsia="仿宋_GB2312" w:hAnsi="&amp;quot" w:cs="宋体" w:hint="eastAsia"/>
          <w:color w:val="333333"/>
          <w:kern w:val="0"/>
          <w:sz w:val="32"/>
          <w:szCs w:val="32"/>
        </w:rPr>
        <w:t>一交易日结算时起执行。依据合约单边持仓量确定某日某合约的限仓数额时，该单边持仓量取该日前一交易日结算时的持仓量。</w:t>
      </w:r>
    </w:p>
    <w:p w14:paraId="76695D1B" w14:textId="77777777" w:rsidR="00280DD9" w:rsidRPr="00B961D1" w:rsidRDefault="00280DD9" w:rsidP="00280DD9">
      <w:pPr>
        <w:widowControl/>
        <w:ind w:firstLineChars="200" w:firstLine="640"/>
        <w:jc w:val="left"/>
        <w:rPr>
          <w:rFonts w:ascii="Times New Roman" w:eastAsia="仿宋_GB2312" w:hAnsi="Times New Roman"/>
          <w:sz w:val="32"/>
          <w:szCs w:val="32"/>
        </w:rPr>
      </w:pPr>
      <w:r w:rsidRPr="00B961D1">
        <w:rPr>
          <w:rFonts w:ascii="仿宋_GB2312" w:eastAsia="仿宋_GB2312" w:hAnsi="&amp;quot" w:cs="宋体" w:hint="eastAsia"/>
          <w:color w:val="333333"/>
          <w:kern w:val="0"/>
          <w:sz w:val="32"/>
          <w:szCs w:val="32"/>
        </w:rPr>
        <w:t>第二十九条</w:t>
      </w: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 xml:space="preserve"> </w:t>
      </w:r>
      <w:r w:rsidRPr="00B961D1">
        <w:rPr>
          <w:rFonts w:ascii="Times New Roman" w:eastAsia="仿宋_GB2312" w:hAnsi="Times New Roman" w:hint="eastAsia"/>
          <w:sz w:val="32"/>
          <w:szCs w:val="32"/>
        </w:rPr>
        <w:t>各品种期货合约持仓限额如下：</w:t>
      </w:r>
    </w:p>
    <w:p w14:paraId="4325D409" w14:textId="77777777" w:rsidR="00280DD9" w:rsidRPr="00B961D1" w:rsidRDefault="00280DD9" w:rsidP="00280DD9">
      <w:pPr>
        <w:widowControl/>
        <w:ind w:firstLineChars="200" w:firstLine="640"/>
        <w:jc w:val="left"/>
        <w:rPr>
          <w:rFonts w:ascii="Times New Roman" w:eastAsia="仿宋_GB2312" w:hAnsi="Times New Roman"/>
          <w:sz w:val="32"/>
          <w:szCs w:val="32"/>
        </w:rPr>
      </w:pPr>
      <w:r w:rsidRPr="00B961D1">
        <w:rPr>
          <w:rFonts w:ascii="Times New Roman" w:eastAsia="仿宋_GB2312" w:hAnsi="Times New Roman" w:hint="eastAsia"/>
          <w:sz w:val="32"/>
          <w:szCs w:val="32"/>
        </w:rPr>
        <w:t>（一）除鸡蛋、乙二醇以外的品种</w:t>
      </w:r>
    </w:p>
    <w:p w14:paraId="1D444798" w14:textId="77777777" w:rsidR="00280DD9" w:rsidRPr="00B961D1" w:rsidRDefault="00280DD9" w:rsidP="00280DD9">
      <w:pPr>
        <w:widowControl/>
        <w:shd w:val="clear" w:color="auto" w:fill="FFFFFF"/>
        <w:ind w:firstLineChars="200" w:firstLine="640"/>
        <w:rPr>
          <w:rFonts w:ascii="仿宋_GB2312" w:eastAsia="仿宋_GB2312" w:hAnsi="&amp;quot" w:cs="宋体" w:hint="eastAsia"/>
          <w:color w:val="333333"/>
          <w:kern w:val="0"/>
          <w:sz w:val="32"/>
          <w:szCs w:val="32"/>
        </w:rPr>
      </w:pPr>
      <w:r w:rsidRPr="00B961D1">
        <w:rPr>
          <w:rFonts w:ascii="Times New Roman" w:eastAsia="仿宋_GB2312" w:hAnsi="Times New Roman"/>
          <w:sz w:val="32"/>
          <w:szCs w:val="32"/>
        </w:rPr>
        <w:t>1.</w:t>
      </w:r>
      <w:r w:rsidRPr="00B961D1">
        <w:rPr>
          <w:rFonts w:ascii="仿宋_GB2312" w:eastAsia="仿宋_GB2312" w:hAnsi="&amp;quot" w:cs="宋体" w:hint="eastAsia"/>
          <w:color w:val="333333"/>
          <w:kern w:val="0"/>
          <w:sz w:val="32"/>
          <w:szCs w:val="32"/>
        </w:rPr>
        <w:t>除鸡蛋、乙二醇品种外，各品种期货合约一般月份（合约上市至交割月份前一个月第十四个交易日）非期货公司会员和客户持仓限额见下表：（单位：手）</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19"/>
        <w:gridCol w:w="2327"/>
        <w:gridCol w:w="1872"/>
        <w:gridCol w:w="1872"/>
      </w:tblGrid>
      <w:tr w:rsidR="00280DD9" w:rsidRPr="00B961D1" w14:paraId="56E50958" w14:textId="77777777" w:rsidTr="0038149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F7B626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品种</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7A7DC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合约单边持仓量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391BC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非期货公司会员</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EAA5B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客户</w:t>
            </w:r>
          </w:p>
        </w:tc>
      </w:tr>
      <w:tr w:rsidR="00280DD9" w:rsidRPr="00B961D1" w14:paraId="0AADF6AD"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BA44BF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黄大豆1号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02F1C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02888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3D95F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r>
      <w:tr w:rsidR="00280DD9" w:rsidRPr="00B961D1" w14:paraId="4EA85DAF"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DD0032"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5D649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E8DA5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C0BE04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0E4FC317"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C1EE48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黄大豆2号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31123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948A4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68A2F9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r>
      <w:tr w:rsidR="00280DD9" w:rsidRPr="00B961D1" w14:paraId="0ED727C8"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FC1509"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5BFBF4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19EBC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577C54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6D4FC0C1"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F1DDD2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豆</w:t>
            </w:r>
            <w:proofErr w:type="gramStart"/>
            <w:r w:rsidRPr="00B961D1">
              <w:rPr>
                <w:rFonts w:ascii="仿宋_GB2312" w:eastAsia="仿宋_GB2312" w:hAnsi="&amp;quot" w:cs="宋体" w:hint="eastAsia"/>
                <w:color w:val="333333"/>
                <w:kern w:val="0"/>
                <w:sz w:val="32"/>
                <w:szCs w:val="32"/>
              </w:rPr>
              <w:t>粕</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B8FAA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单边持仓量≤400,000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75A7F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B9CF3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40,000</w:t>
            </w:r>
          </w:p>
        </w:tc>
      </w:tr>
      <w:tr w:rsidR="00280DD9" w:rsidRPr="00B961D1" w14:paraId="1C31D029"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A2A067"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F065A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单边持仓量＞400,000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78E0D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5710F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069390A4"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E0B69D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玉米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6E9539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单边持仓量≤400,000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38E84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33C183"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40,000</w:t>
            </w:r>
          </w:p>
        </w:tc>
      </w:tr>
      <w:tr w:rsidR="00280DD9" w:rsidRPr="00B961D1" w14:paraId="7729AC91"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209315"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B76C9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单边持仓量＞400,000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CE90A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90842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629D6184"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4CE3AE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豆油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B7608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FDF68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E66AD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r>
      <w:tr w:rsidR="00280DD9" w:rsidRPr="00B961D1" w14:paraId="0D89C02A"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B2F39F"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38FF7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AD56D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EA45E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2979A1AB"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89DB2A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棕榈油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DC38C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7B822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3D447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10,000</w:t>
            </w:r>
          </w:p>
        </w:tc>
      </w:tr>
      <w:tr w:rsidR="00280DD9" w:rsidRPr="00B961D1" w14:paraId="154C2AEF"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3BD551"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73671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47591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32935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36FE9C3E"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617C5A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线型低密度聚乙烯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056AC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DF5F5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58714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10,000</w:t>
            </w:r>
          </w:p>
        </w:tc>
      </w:tr>
      <w:tr w:rsidR="00280DD9" w:rsidRPr="00B961D1" w14:paraId="06CCB000"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BCBC21"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8A346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08206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D05EA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113B0BC5"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588965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聚氯乙烯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FD47A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B196D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F5C95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r>
      <w:tr w:rsidR="00280DD9" w:rsidRPr="00B961D1" w14:paraId="574002DC"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3F3845"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5E6F4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DFEA2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27DC6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0AF5E262"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DBA93C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焦炭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C41BA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66824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A0D41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r>
      <w:tr w:rsidR="00280DD9" w:rsidRPr="00B961D1" w14:paraId="20AFD1C3"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FA8386"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946ED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6C182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E83E6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5263F853"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40EEA7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焦煤</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460C7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单边持仓量≤80,000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59B36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45809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8,000</w:t>
            </w:r>
          </w:p>
        </w:tc>
      </w:tr>
      <w:tr w:rsidR="00280DD9" w:rsidRPr="00B961D1" w14:paraId="3A3F7219"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3A7A91"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7CF48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单边持仓量＞80,000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BDAF7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00581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08D6F9A3"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F08EE7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铁矿石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B12CB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单边持仓量≤400,000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0D280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C522D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40,000</w:t>
            </w:r>
          </w:p>
        </w:tc>
      </w:tr>
      <w:tr w:rsidR="00280DD9" w:rsidRPr="00B961D1" w14:paraId="1EFFD420"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33A008"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8F272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单边持仓量＞400,000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DCD6C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27AC0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2B0C7D74"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77996F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纤维板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A10BD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单边持仓量≤300,000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504B5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30,000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6620F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30,000</w:t>
            </w:r>
          </w:p>
        </w:tc>
      </w:tr>
      <w:tr w:rsidR="00280DD9" w:rsidRPr="00B961D1" w14:paraId="5E98F2D0"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358211"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CB7F1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单边持仓量＞300,000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D8A3E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148E03"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5EA112E0"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CA7FAC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胶合板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4D006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单边持仓量≤60,000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166F1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6,000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B1FF7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6,000</w:t>
            </w:r>
          </w:p>
        </w:tc>
      </w:tr>
      <w:tr w:rsidR="00280DD9" w:rsidRPr="00B961D1" w14:paraId="4271CA3B"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5DF523"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9230C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单边持仓量＞60,000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66462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9EAD7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0758EC0F"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2681A0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聚丙烯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EBAEA7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C196F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CA7E3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r>
      <w:tr w:rsidR="00280DD9" w:rsidRPr="00B961D1" w14:paraId="2E6F9A89"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64BA63"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4F57F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EF274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C39D2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70805822"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A883F4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玉米淀粉</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F15C6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7245F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F3D6B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15,000</w:t>
            </w:r>
          </w:p>
        </w:tc>
      </w:tr>
      <w:tr w:rsidR="00280DD9" w:rsidRPr="00B961D1" w14:paraId="1FC095EC"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C1F8A8"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6CF283"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单边持仓量＞150,000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A06F3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D88DB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446AEE5B"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A443150"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粳米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52494D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6EE096"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AAA43A"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20,000</w:t>
            </w:r>
          </w:p>
        </w:tc>
      </w:tr>
      <w:tr w:rsidR="00280DD9" w:rsidRPr="00B961D1" w14:paraId="47BF5357"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46F61E"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5CCDA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单边持仓量＞200,000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4ADAC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B722C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578A8629"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1ECF910"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苯乙烯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1BA71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单边持仓量≤120,000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E5F3BF"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12,000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6C4D0C9"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12,000</w:t>
            </w:r>
          </w:p>
        </w:tc>
      </w:tr>
      <w:tr w:rsidR="00280DD9" w:rsidRPr="00B961D1" w14:paraId="468B39EF"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49B63F"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E1898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单边持仓量＞120,000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6680A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6324E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r w:rsidR="00280DD9" w:rsidRPr="00B961D1" w14:paraId="12D569DA"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63A705F"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液化石油气</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F5D19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单边持仓量≤80,000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7668F7"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A5C724"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8,000</w:t>
            </w:r>
          </w:p>
        </w:tc>
      </w:tr>
      <w:tr w:rsidR="00280DD9" w:rsidRPr="00B961D1" w14:paraId="7C175B9A"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4A8566"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5EC4C2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单边持仓量＞80,000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336E6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1F62A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单边持仓量×10%</w:t>
            </w:r>
          </w:p>
        </w:tc>
      </w:tr>
    </w:tbl>
    <w:p w14:paraId="27222E17"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r w:rsidRPr="00B961D1">
        <w:rPr>
          <w:rFonts w:ascii="仿宋_GB2312" w:eastAsia="仿宋_GB2312" w:hAnsi="&amp;quot" w:cs="宋体"/>
          <w:color w:val="333333"/>
          <w:kern w:val="0"/>
          <w:sz w:val="32"/>
          <w:szCs w:val="32"/>
        </w:rPr>
        <w:t>2.</w:t>
      </w:r>
      <w:r w:rsidRPr="00B961D1">
        <w:rPr>
          <w:rFonts w:ascii="仿宋_GB2312" w:eastAsia="仿宋_GB2312" w:hAnsi="&amp;quot" w:cs="宋体" w:hint="eastAsia"/>
          <w:color w:val="333333"/>
          <w:kern w:val="0"/>
          <w:sz w:val="32"/>
          <w:szCs w:val="32"/>
        </w:rPr>
        <w:t>除鸡蛋、乙二醇品种外，各品种期货合约自交割月份前一个月第十五个交易日至交割月期间非期货公司会员和客户持仓限额见下表，交割月份个人客户持仓限额为0：（单位：手）</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48"/>
        <w:gridCol w:w="3237"/>
        <w:gridCol w:w="1815"/>
        <w:gridCol w:w="990"/>
      </w:tblGrid>
      <w:tr w:rsidR="00280DD9" w:rsidRPr="00B961D1" w14:paraId="048D66E6" w14:textId="77777777" w:rsidTr="0038149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54EE7A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品种</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1A779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时间段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6BC2D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非期货公司会员</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1E6EC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客户</w:t>
            </w:r>
          </w:p>
        </w:tc>
      </w:tr>
      <w:tr w:rsidR="00280DD9" w:rsidRPr="00B961D1" w14:paraId="58B556CB"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FB1306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黄大豆1号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B9B287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6BAAB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81917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r>
      <w:tr w:rsidR="00280DD9" w:rsidRPr="00B961D1" w14:paraId="671F12E8"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CF932C"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4DC84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08A4E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EAB27B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2,500</w:t>
            </w:r>
          </w:p>
        </w:tc>
      </w:tr>
      <w:tr w:rsidR="00280DD9" w:rsidRPr="00B961D1" w14:paraId="6D1AC7E0"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E254B6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黄大豆2号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CAE20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4DC2B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B33CBB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4,500</w:t>
            </w:r>
          </w:p>
        </w:tc>
      </w:tr>
      <w:tr w:rsidR="00280DD9" w:rsidRPr="00B961D1" w14:paraId="460E6B0B"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72D682"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9C161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073FA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229DD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w:t>
            </w:r>
          </w:p>
        </w:tc>
      </w:tr>
      <w:tr w:rsidR="00280DD9" w:rsidRPr="00B961D1" w14:paraId="29B60208"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2D5D5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豆</w:t>
            </w:r>
            <w:proofErr w:type="gramStart"/>
            <w:r w:rsidRPr="00B961D1">
              <w:rPr>
                <w:rFonts w:ascii="仿宋_GB2312" w:eastAsia="仿宋_GB2312" w:hAnsi="&amp;quot" w:cs="宋体" w:hint="eastAsia"/>
                <w:color w:val="333333"/>
                <w:kern w:val="0"/>
                <w:sz w:val="32"/>
                <w:szCs w:val="32"/>
              </w:rPr>
              <w:t>粕</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628C0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A1BB1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9301B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7,500</w:t>
            </w:r>
          </w:p>
        </w:tc>
      </w:tr>
      <w:tr w:rsidR="00280DD9" w:rsidRPr="00B961D1" w14:paraId="2B1AB9A9"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78AEFE"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DE280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B37C8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BC050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2,500</w:t>
            </w:r>
          </w:p>
        </w:tc>
      </w:tr>
      <w:tr w:rsidR="00280DD9" w:rsidRPr="00B961D1" w14:paraId="06619563"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B515E7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豆油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BA2AFF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444B73"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6,000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60F5CA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3,000</w:t>
            </w:r>
          </w:p>
        </w:tc>
      </w:tr>
      <w:tr w:rsidR="00280DD9" w:rsidRPr="00B961D1" w14:paraId="48A18217"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ACA4F8"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41AC2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C769A93"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14F90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r>
      <w:tr w:rsidR="00280DD9" w:rsidRPr="00B961D1" w14:paraId="1D3B03F2"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708875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棕榈油</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3C1BE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07089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3,000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E07D7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w:t>
            </w:r>
          </w:p>
        </w:tc>
      </w:tr>
      <w:tr w:rsidR="00280DD9" w:rsidRPr="00B961D1" w14:paraId="30B9DE72"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13252A"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585BCB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A46C4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DBA0F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w:t>
            </w:r>
          </w:p>
        </w:tc>
      </w:tr>
      <w:tr w:rsidR="00280DD9" w:rsidRPr="00B961D1" w14:paraId="7D3282B0"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5978B4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玉米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C7617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F3B673"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30,000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AB42E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15,000</w:t>
            </w:r>
          </w:p>
        </w:tc>
      </w:tr>
      <w:tr w:rsidR="00280DD9" w:rsidRPr="00B961D1" w14:paraId="4EBCCE89"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CC93EC"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453937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54DD23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865D7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r>
      <w:tr w:rsidR="00280DD9" w:rsidRPr="00B961D1" w14:paraId="3539EFB4"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C4C46F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线型低密度聚乙烯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4B72D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A812DF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6,000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CC6B3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3,000</w:t>
            </w:r>
          </w:p>
        </w:tc>
      </w:tr>
      <w:tr w:rsidR="00280DD9" w:rsidRPr="00B961D1" w14:paraId="6C10D94E"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AD9440"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1D162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6E75A7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485621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r>
      <w:tr w:rsidR="00280DD9" w:rsidRPr="00B961D1" w14:paraId="5BED75CB"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D6D741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聚氯乙烯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0B0F1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24EA77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7A7BD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r>
      <w:tr w:rsidR="00280DD9" w:rsidRPr="00B961D1" w14:paraId="72DF702A"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CCCE4E"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F134CD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277D16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A8916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2,500</w:t>
            </w:r>
          </w:p>
        </w:tc>
      </w:tr>
      <w:tr w:rsidR="00280DD9" w:rsidRPr="00B961D1" w14:paraId="3C6B1646"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0DEE13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焦炭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739CE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5634A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900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2F235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900</w:t>
            </w:r>
          </w:p>
        </w:tc>
      </w:tr>
      <w:tr w:rsidR="00280DD9" w:rsidRPr="00B961D1" w14:paraId="4B830B79"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423D37"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33534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0DAA3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300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A481CB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300</w:t>
            </w:r>
          </w:p>
        </w:tc>
      </w:tr>
      <w:tr w:rsidR="00280DD9" w:rsidRPr="00B961D1" w14:paraId="1594A194"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D5BFD1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焦煤</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0A51C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EFE5B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14D17B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w:t>
            </w:r>
          </w:p>
        </w:tc>
      </w:tr>
      <w:tr w:rsidR="00280DD9" w:rsidRPr="00B961D1" w14:paraId="72D7B230"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075E2C"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B4625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2CE7A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C049B0"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w:t>
            </w:r>
          </w:p>
        </w:tc>
      </w:tr>
      <w:tr w:rsidR="00280DD9" w:rsidRPr="00B961D1" w14:paraId="54F06F5C"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7DBBFB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铁矿石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55C4A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658B2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6,000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989DF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6,000</w:t>
            </w:r>
          </w:p>
        </w:tc>
      </w:tr>
      <w:tr w:rsidR="00280DD9" w:rsidRPr="00B961D1" w14:paraId="3F66D206"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ECEE78"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85477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1359D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6ACDD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w:t>
            </w:r>
          </w:p>
        </w:tc>
      </w:tr>
      <w:tr w:rsidR="00280DD9" w:rsidRPr="00B961D1" w14:paraId="09812152"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693F6D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纤维板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71549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C737C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B421C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800</w:t>
            </w:r>
          </w:p>
        </w:tc>
      </w:tr>
      <w:tr w:rsidR="00280DD9" w:rsidRPr="00B961D1" w14:paraId="5D84B769"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E7FF96"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44EB3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FF9E8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707D5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w:t>
            </w:r>
          </w:p>
        </w:tc>
      </w:tr>
      <w:tr w:rsidR="00280DD9" w:rsidRPr="00B961D1" w14:paraId="3ADD9DA2"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77D245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胶合板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E703D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78BA68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8044D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80</w:t>
            </w:r>
          </w:p>
        </w:tc>
      </w:tr>
      <w:tr w:rsidR="00280DD9" w:rsidRPr="00B961D1" w14:paraId="0FA31220"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F52C29"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AC18B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3C9C3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42AAE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w:t>
            </w:r>
          </w:p>
        </w:tc>
      </w:tr>
      <w:tr w:rsidR="00280DD9" w:rsidRPr="00B961D1" w14:paraId="1E6EA41A"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DFAFD8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聚丙烯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DE500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BB13121"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B679E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5,000</w:t>
            </w:r>
          </w:p>
        </w:tc>
      </w:tr>
      <w:tr w:rsidR="00280DD9" w:rsidRPr="00B961D1" w14:paraId="2E7E3529"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9A3A7C"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C273F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6E8EC6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C130E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2,500</w:t>
            </w:r>
          </w:p>
        </w:tc>
      </w:tr>
      <w:tr w:rsidR="00280DD9" w:rsidRPr="00B961D1" w14:paraId="4AA0D5D4"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ACA298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玉米淀粉</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A9073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787F3D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5A29E5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4,500</w:t>
            </w:r>
          </w:p>
        </w:tc>
      </w:tr>
      <w:tr w:rsidR="00280DD9" w:rsidRPr="00B961D1" w14:paraId="63BB66E7"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3813A3"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562416"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B351F5"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5C086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1,500</w:t>
            </w:r>
          </w:p>
        </w:tc>
      </w:tr>
      <w:tr w:rsidR="00280DD9" w:rsidRPr="00B961D1" w14:paraId="64B42831"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767A60E"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粳米</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5A1D6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271311"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136FC8"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w:t>
            </w:r>
          </w:p>
        </w:tc>
      </w:tr>
      <w:tr w:rsidR="00280DD9" w:rsidRPr="00B961D1" w14:paraId="3BA5C21A"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76C626"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9CA4A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657674"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7E2D8A"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r>
      <w:tr w:rsidR="00280DD9" w:rsidRPr="00B961D1" w14:paraId="04CE6A13"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1143769"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苯乙烯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9E9A6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9714EC"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0A8CF5"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2,000</w:t>
            </w:r>
          </w:p>
        </w:tc>
      </w:tr>
      <w:tr w:rsidR="00280DD9" w:rsidRPr="00B961D1" w14:paraId="44708D4E"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C810EC"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3E2C82"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3E8452"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C66F276"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r>
      <w:tr w:rsidR="00280DD9" w:rsidRPr="00B961D1" w14:paraId="2CC98919" w14:textId="77777777" w:rsidTr="00381491">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CE9CDAB"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液化石油气</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83D4E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交割月前一个月第十五个交易日起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8BECE5"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0C0FDE"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1,000</w:t>
            </w:r>
          </w:p>
        </w:tc>
      </w:tr>
      <w:tr w:rsidR="00280DD9" w:rsidRPr="00B961D1" w14:paraId="4E082C35" w14:textId="77777777" w:rsidTr="00381491">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9D4891" w14:textId="77777777" w:rsidR="00280DD9" w:rsidRPr="00B961D1" w:rsidRDefault="00280DD9" w:rsidP="00381491">
            <w:pPr>
              <w:widowControl/>
              <w:rPr>
                <w:rFonts w:ascii="仿宋_GB2312" w:eastAsia="仿宋_GB2312" w:hAnsi="&amp;quot" w:cs="宋体" w:hint="eastAsia"/>
                <w:color w:val="333333"/>
                <w:kern w:val="0"/>
                <w:sz w:val="32"/>
                <w:szCs w:val="32"/>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EF5BD4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6AA456"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2F276D" w14:textId="77777777" w:rsidR="00280DD9" w:rsidRPr="00B961D1" w:rsidRDefault="00280DD9" w:rsidP="00381491">
            <w:pPr>
              <w:widowControl/>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500</w:t>
            </w:r>
          </w:p>
        </w:tc>
      </w:tr>
    </w:tbl>
    <w:p w14:paraId="2A94BC28"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（二）鸡蛋品种</w:t>
      </w:r>
    </w:p>
    <w:p w14:paraId="27030846" w14:textId="77777777" w:rsidR="00280DD9" w:rsidRPr="00B961D1" w:rsidRDefault="00280DD9" w:rsidP="00280DD9">
      <w:pPr>
        <w:widowControl/>
        <w:shd w:val="clear" w:color="auto" w:fill="FFFFFF"/>
        <w:ind w:firstLineChars="200" w:firstLine="640"/>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鸡蛋期货合约非期货公司会员和客户持仓限额见下表，交割月份个人客户持仓限额为0：（单位：手）</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10"/>
        <w:gridCol w:w="2270"/>
        <w:gridCol w:w="830"/>
      </w:tblGrid>
      <w:tr w:rsidR="00280DD9" w:rsidRPr="00B961D1" w14:paraId="2B4BBDE2" w14:textId="77777777" w:rsidTr="0038149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6132AE"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交易时间段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E22177"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非期货公司会员</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2AAD6C"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客户</w:t>
            </w:r>
          </w:p>
        </w:tc>
      </w:tr>
      <w:tr w:rsidR="00280DD9" w:rsidRPr="00B961D1" w14:paraId="13A72DFD" w14:textId="77777777" w:rsidTr="0038149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C0630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合约上市起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6A44B9A"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F52C0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1,200</w:t>
            </w:r>
          </w:p>
        </w:tc>
      </w:tr>
      <w:tr w:rsidR="00280DD9" w:rsidRPr="00B961D1" w14:paraId="1DD96A19" w14:textId="77777777" w:rsidTr="0038149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9BF8C9"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交割月前一个月第一个交易日起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A4017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DA541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400</w:t>
            </w:r>
          </w:p>
        </w:tc>
      </w:tr>
      <w:tr w:rsidR="00280DD9" w:rsidRPr="00B961D1" w14:paraId="37DA6596" w14:textId="77777777" w:rsidTr="0038149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C81634"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交割月前一个月第十个交易日起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08898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91DD0F"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120</w:t>
            </w:r>
          </w:p>
        </w:tc>
      </w:tr>
      <w:tr w:rsidR="00280DD9" w:rsidRPr="00B961D1" w14:paraId="190F575A" w14:textId="77777777" w:rsidTr="0038149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77FCDD"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交割月份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2C8E2B"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56BFF8" w14:textId="77777777" w:rsidR="00280DD9" w:rsidRPr="00B961D1" w:rsidRDefault="00280DD9" w:rsidP="00381491">
            <w:pPr>
              <w:widowControl/>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20</w:t>
            </w:r>
          </w:p>
        </w:tc>
      </w:tr>
    </w:tbl>
    <w:p w14:paraId="7C96CB64"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（三）乙二醇品种</w:t>
      </w:r>
    </w:p>
    <w:p w14:paraId="4005C845" w14:textId="77777777" w:rsidR="00280DD9" w:rsidRPr="00B961D1" w:rsidRDefault="00280DD9" w:rsidP="00280DD9">
      <w:pPr>
        <w:widowControl/>
        <w:shd w:val="clear" w:color="auto" w:fill="FFFFFF"/>
        <w:ind w:firstLineChars="200" w:firstLine="640"/>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乙二醇期货合约非期货公司会员和客户持仓限额见下表，交割月份个人客户持仓限额为0：（单位：手）</w:t>
      </w:r>
    </w:p>
    <w:p w14:paraId="38E0CC2B" w14:textId="77777777" w:rsidR="00280DD9" w:rsidRPr="00B961D1" w:rsidDel="00B171DA"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p>
    <w:tbl>
      <w:tblPr>
        <w:tblW w:w="1048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83"/>
        <w:gridCol w:w="1262"/>
        <w:gridCol w:w="1432"/>
        <w:gridCol w:w="1280"/>
        <w:gridCol w:w="705"/>
        <w:gridCol w:w="1419"/>
        <w:gridCol w:w="1418"/>
        <w:gridCol w:w="1277"/>
        <w:gridCol w:w="709"/>
      </w:tblGrid>
      <w:tr w:rsidR="00280DD9" w:rsidRPr="00B961D1" w14:paraId="715BB75F" w14:textId="77777777" w:rsidTr="00381491">
        <w:trPr>
          <w:trHeight w:val="299"/>
          <w:jc w:val="center"/>
        </w:trPr>
        <w:tc>
          <w:tcPr>
            <w:tcW w:w="984" w:type="dxa"/>
            <w:vMerge w:val="restart"/>
            <w:tcBorders>
              <w:top w:val="single" w:sz="8" w:space="0" w:color="auto"/>
              <w:left w:val="single" w:sz="8" w:space="0" w:color="auto"/>
              <w:bottom w:val="single" w:sz="8" w:space="0" w:color="auto"/>
              <w:right w:val="single" w:sz="8" w:space="0" w:color="auto"/>
            </w:tcBorders>
            <w:vAlign w:val="center"/>
            <w:hideMark/>
          </w:tcPr>
          <w:p w14:paraId="230563F1"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品种</w:t>
            </w:r>
          </w:p>
        </w:tc>
        <w:tc>
          <w:tcPr>
            <w:tcW w:w="4676" w:type="dxa"/>
            <w:gridSpan w:val="4"/>
            <w:tcBorders>
              <w:top w:val="single" w:sz="8" w:space="0" w:color="auto"/>
              <w:left w:val="single" w:sz="8" w:space="0" w:color="auto"/>
              <w:bottom w:val="single" w:sz="8" w:space="0" w:color="auto"/>
              <w:right w:val="single" w:sz="8" w:space="0" w:color="auto"/>
            </w:tcBorders>
            <w:vAlign w:val="center"/>
            <w:hideMark/>
          </w:tcPr>
          <w:p w14:paraId="20D7D19F"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一般规定</w:t>
            </w:r>
          </w:p>
        </w:tc>
        <w:tc>
          <w:tcPr>
            <w:tcW w:w="4820" w:type="dxa"/>
            <w:gridSpan w:val="4"/>
            <w:tcBorders>
              <w:top w:val="single" w:sz="8" w:space="0" w:color="auto"/>
              <w:left w:val="single" w:sz="8" w:space="0" w:color="auto"/>
              <w:bottom w:val="single" w:sz="8" w:space="0" w:color="auto"/>
              <w:right w:val="single" w:sz="8" w:space="0" w:color="auto"/>
            </w:tcBorders>
            <w:vAlign w:val="center"/>
            <w:hideMark/>
          </w:tcPr>
          <w:p w14:paraId="129175AA"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特别规定</w:t>
            </w:r>
          </w:p>
        </w:tc>
      </w:tr>
      <w:tr w:rsidR="00280DD9" w:rsidRPr="00B961D1" w14:paraId="67BC0010" w14:textId="77777777" w:rsidTr="00381491">
        <w:trPr>
          <w:trHeight w:val="598"/>
          <w:jc w:val="center"/>
        </w:trPr>
        <w:tc>
          <w:tcPr>
            <w:tcW w:w="984" w:type="dxa"/>
            <w:vMerge/>
            <w:tcBorders>
              <w:top w:val="single" w:sz="8" w:space="0" w:color="auto"/>
              <w:left w:val="single" w:sz="8" w:space="0" w:color="auto"/>
              <w:bottom w:val="single" w:sz="8" w:space="0" w:color="auto"/>
              <w:right w:val="single" w:sz="8" w:space="0" w:color="auto"/>
            </w:tcBorders>
            <w:vAlign w:val="center"/>
            <w:hideMark/>
          </w:tcPr>
          <w:p w14:paraId="6696B5B0" w14:textId="77777777" w:rsidR="00280DD9" w:rsidRPr="00B961D1" w:rsidRDefault="00280DD9" w:rsidP="00381491">
            <w:pPr>
              <w:widowControl/>
              <w:jc w:val="left"/>
              <w:rPr>
                <w:rFonts w:ascii="仿宋_GB2312" w:eastAsia="仿宋_GB2312" w:hAnsi="宋体" w:cs="宋体"/>
                <w:color w:val="000000"/>
                <w:kern w:val="0"/>
                <w:sz w:val="24"/>
                <w:szCs w:val="24"/>
              </w:rPr>
            </w:pPr>
          </w:p>
        </w:tc>
        <w:tc>
          <w:tcPr>
            <w:tcW w:w="1261" w:type="dxa"/>
            <w:tcBorders>
              <w:top w:val="single" w:sz="8" w:space="0" w:color="auto"/>
              <w:left w:val="single" w:sz="8" w:space="0" w:color="auto"/>
              <w:bottom w:val="single" w:sz="8" w:space="0" w:color="auto"/>
              <w:right w:val="single" w:sz="8" w:space="0" w:color="auto"/>
            </w:tcBorders>
            <w:vAlign w:val="center"/>
            <w:hideMark/>
          </w:tcPr>
          <w:p w14:paraId="3EC51CA5"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时间段</w:t>
            </w:r>
          </w:p>
        </w:tc>
        <w:tc>
          <w:tcPr>
            <w:tcW w:w="1431" w:type="dxa"/>
            <w:tcBorders>
              <w:top w:val="single" w:sz="8" w:space="0" w:color="auto"/>
              <w:left w:val="single" w:sz="8" w:space="0" w:color="auto"/>
              <w:bottom w:val="single" w:sz="8" w:space="0" w:color="auto"/>
              <w:right w:val="single" w:sz="8" w:space="0" w:color="auto"/>
            </w:tcBorders>
            <w:vAlign w:val="center"/>
            <w:hideMark/>
          </w:tcPr>
          <w:p w14:paraId="2AE8BB83"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合约单边持仓量</w:t>
            </w:r>
          </w:p>
        </w:tc>
        <w:tc>
          <w:tcPr>
            <w:tcW w:w="1279" w:type="dxa"/>
            <w:tcBorders>
              <w:top w:val="single" w:sz="8" w:space="0" w:color="auto"/>
              <w:left w:val="single" w:sz="8" w:space="0" w:color="auto"/>
              <w:bottom w:val="single" w:sz="8" w:space="0" w:color="auto"/>
              <w:right w:val="single" w:sz="8" w:space="0" w:color="auto"/>
            </w:tcBorders>
            <w:vAlign w:val="center"/>
            <w:hideMark/>
          </w:tcPr>
          <w:p w14:paraId="3D6E54B3"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非期货公司会员</w:t>
            </w:r>
          </w:p>
        </w:tc>
        <w:tc>
          <w:tcPr>
            <w:tcW w:w="705" w:type="dxa"/>
            <w:tcBorders>
              <w:top w:val="single" w:sz="8" w:space="0" w:color="auto"/>
              <w:left w:val="single" w:sz="8" w:space="0" w:color="auto"/>
              <w:bottom w:val="single" w:sz="8" w:space="0" w:color="auto"/>
              <w:right w:val="single" w:sz="8" w:space="0" w:color="auto"/>
            </w:tcBorders>
            <w:vAlign w:val="center"/>
            <w:hideMark/>
          </w:tcPr>
          <w:p w14:paraId="4CB43523"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客户</w:t>
            </w:r>
          </w:p>
        </w:tc>
        <w:tc>
          <w:tcPr>
            <w:tcW w:w="1418" w:type="dxa"/>
            <w:tcBorders>
              <w:top w:val="single" w:sz="8" w:space="0" w:color="auto"/>
              <w:left w:val="single" w:sz="8" w:space="0" w:color="auto"/>
              <w:bottom w:val="single" w:sz="8" w:space="0" w:color="auto"/>
              <w:right w:val="single" w:sz="8" w:space="0" w:color="auto"/>
            </w:tcBorders>
            <w:vAlign w:val="center"/>
            <w:hideMark/>
          </w:tcPr>
          <w:p w14:paraId="38675EF3"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时间段</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0B264F2"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合约单边持仓量</w:t>
            </w:r>
          </w:p>
        </w:tc>
        <w:tc>
          <w:tcPr>
            <w:tcW w:w="1276" w:type="dxa"/>
            <w:tcBorders>
              <w:top w:val="single" w:sz="8" w:space="0" w:color="auto"/>
              <w:left w:val="single" w:sz="8" w:space="0" w:color="auto"/>
              <w:bottom w:val="single" w:sz="8" w:space="0" w:color="auto"/>
              <w:right w:val="single" w:sz="8" w:space="0" w:color="auto"/>
            </w:tcBorders>
            <w:noWrap/>
            <w:vAlign w:val="center"/>
            <w:hideMark/>
          </w:tcPr>
          <w:p w14:paraId="06D77B7F"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非期货公司会员</w:t>
            </w:r>
          </w:p>
        </w:tc>
        <w:tc>
          <w:tcPr>
            <w:tcW w:w="709" w:type="dxa"/>
            <w:tcBorders>
              <w:top w:val="single" w:sz="8" w:space="0" w:color="auto"/>
              <w:left w:val="single" w:sz="8" w:space="0" w:color="auto"/>
              <w:bottom w:val="single" w:sz="8" w:space="0" w:color="auto"/>
              <w:right w:val="single" w:sz="8" w:space="0" w:color="auto"/>
            </w:tcBorders>
            <w:noWrap/>
            <w:vAlign w:val="center"/>
            <w:hideMark/>
          </w:tcPr>
          <w:p w14:paraId="13A97A0D"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客户</w:t>
            </w:r>
          </w:p>
        </w:tc>
      </w:tr>
      <w:tr w:rsidR="00280DD9" w:rsidRPr="00B961D1" w14:paraId="4022FCA4" w14:textId="77777777" w:rsidTr="00381491">
        <w:trPr>
          <w:trHeight w:val="1486"/>
          <w:jc w:val="center"/>
        </w:trPr>
        <w:tc>
          <w:tcPr>
            <w:tcW w:w="984" w:type="dxa"/>
            <w:vMerge w:val="restart"/>
            <w:tcBorders>
              <w:top w:val="single" w:sz="8" w:space="0" w:color="auto"/>
              <w:left w:val="single" w:sz="8" w:space="0" w:color="auto"/>
              <w:bottom w:val="single" w:sz="8" w:space="0" w:color="auto"/>
              <w:right w:val="single" w:sz="8" w:space="0" w:color="auto"/>
            </w:tcBorders>
            <w:vAlign w:val="center"/>
            <w:hideMark/>
          </w:tcPr>
          <w:p w14:paraId="325B609F"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乙二醇</w:t>
            </w:r>
          </w:p>
        </w:tc>
        <w:tc>
          <w:tcPr>
            <w:tcW w:w="1261" w:type="dxa"/>
            <w:vMerge w:val="restart"/>
            <w:tcBorders>
              <w:top w:val="single" w:sz="8" w:space="0" w:color="auto"/>
              <w:left w:val="single" w:sz="8" w:space="0" w:color="auto"/>
              <w:bottom w:val="single" w:sz="8" w:space="0" w:color="auto"/>
              <w:right w:val="single" w:sz="8" w:space="0" w:color="auto"/>
            </w:tcBorders>
            <w:vAlign w:val="center"/>
            <w:hideMark/>
          </w:tcPr>
          <w:p w14:paraId="7696826F"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合约上市至交割月份前一个月第十四个交易日</w:t>
            </w:r>
          </w:p>
        </w:tc>
        <w:tc>
          <w:tcPr>
            <w:tcW w:w="1431" w:type="dxa"/>
            <w:tcBorders>
              <w:top w:val="single" w:sz="8" w:space="0" w:color="auto"/>
              <w:left w:val="single" w:sz="8" w:space="0" w:color="auto"/>
              <w:bottom w:val="single" w:sz="8" w:space="0" w:color="auto"/>
              <w:right w:val="single" w:sz="8" w:space="0" w:color="auto"/>
            </w:tcBorders>
            <w:vAlign w:val="center"/>
            <w:hideMark/>
          </w:tcPr>
          <w:p w14:paraId="0716D1E4"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单边持仓量≤80,000</w:t>
            </w:r>
          </w:p>
        </w:tc>
        <w:tc>
          <w:tcPr>
            <w:tcW w:w="1984" w:type="dxa"/>
            <w:gridSpan w:val="2"/>
            <w:tcBorders>
              <w:top w:val="single" w:sz="8" w:space="0" w:color="auto"/>
              <w:left w:val="single" w:sz="8" w:space="0" w:color="auto"/>
              <w:bottom w:val="single" w:sz="8" w:space="0" w:color="auto"/>
              <w:right w:val="single" w:sz="8" w:space="0" w:color="auto"/>
            </w:tcBorders>
            <w:vAlign w:val="center"/>
            <w:hideMark/>
          </w:tcPr>
          <w:p w14:paraId="117ECB28"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8,000</w:t>
            </w:r>
          </w:p>
        </w:tc>
        <w:tc>
          <w:tcPr>
            <w:tcW w:w="1418" w:type="dxa"/>
            <w:vMerge w:val="restart"/>
            <w:tcBorders>
              <w:top w:val="single" w:sz="8" w:space="0" w:color="auto"/>
              <w:left w:val="single" w:sz="8" w:space="0" w:color="auto"/>
              <w:bottom w:val="single" w:sz="8" w:space="0" w:color="auto"/>
              <w:right w:val="single" w:sz="8" w:space="0" w:color="auto"/>
            </w:tcBorders>
            <w:vAlign w:val="center"/>
            <w:hideMark/>
          </w:tcPr>
          <w:p w14:paraId="48448144"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交割月份前一个月第一个交易日至该月第十四个交易日</w:t>
            </w:r>
          </w:p>
        </w:tc>
        <w:tc>
          <w:tcPr>
            <w:tcW w:w="1417" w:type="dxa"/>
            <w:vMerge w:val="restart"/>
            <w:tcBorders>
              <w:top w:val="single" w:sz="8" w:space="0" w:color="auto"/>
              <w:left w:val="single" w:sz="8" w:space="0" w:color="auto"/>
              <w:bottom w:val="single" w:sz="8" w:space="0" w:color="auto"/>
              <w:right w:val="single" w:sz="8" w:space="0" w:color="auto"/>
            </w:tcBorders>
            <w:vAlign w:val="center"/>
            <w:hideMark/>
          </w:tcPr>
          <w:p w14:paraId="071FEF57"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单边持仓量＞120,000</w:t>
            </w:r>
          </w:p>
        </w:tc>
        <w:tc>
          <w:tcPr>
            <w:tcW w:w="1985"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6F2D83B7"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3000（维持该标准，直至该月第十四个交易日）</w:t>
            </w:r>
          </w:p>
        </w:tc>
      </w:tr>
      <w:tr w:rsidR="00280DD9" w:rsidRPr="00B961D1" w14:paraId="20F6096A" w14:textId="77777777" w:rsidTr="00381491">
        <w:trPr>
          <w:trHeight w:val="598"/>
          <w:jc w:val="center"/>
        </w:trPr>
        <w:tc>
          <w:tcPr>
            <w:tcW w:w="984" w:type="dxa"/>
            <w:vMerge/>
            <w:tcBorders>
              <w:top w:val="single" w:sz="8" w:space="0" w:color="auto"/>
              <w:left w:val="single" w:sz="8" w:space="0" w:color="auto"/>
              <w:bottom w:val="single" w:sz="8" w:space="0" w:color="auto"/>
              <w:right w:val="single" w:sz="8" w:space="0" w:color="auto"/>
            </w:tcBorders>
            <w:vAlign w:val="center"/>
            <w:hideMark/>
          </w:tcPr>
          <w:p w14:paraId="1942EE7B" w14:textId="77777777" w:rsidR="00280DD9" w:rsidRPr="00B961D1" w:rsidRDefault="00280DD9" w:rsidP="00381491">
            <w:pPr>
              <w:widowControl/>
              <w:jc w:val="left"/>
              <w:rPr>
                <w:rFonts w:ascii="仿宋_GB2312" w:eastAsia="仿宋_GB2312" w:hAnsi="宋体" w:cs="宋体"/>
                <w:color w:val="000000"/>
                <w:kern w:val="0"/>
                <w:sz w:val="24"/>
                <w:szCs w:val="24"/>
              </w:rPr>
            </w:pPr>
          </w:p>
        </w:tc>
        <w:tc>
          <w:tcPr>
            <w:tcW w:w="4676" w:type="dxa"/>
            <w:vMerge/>
            <w:tcBorders>
              <w:top w:val="single" w:sz="8" w:space="0" w:color="auto"/>
              <w:left w:val="single" w:sz="8" w:space="0" w:color="auto"/>
              <w:bottom w:val="single" w:sz="8" w:space="0" w:color="auto"/>
              <w:right w:val="single" w:sz="8" w:space="0" w:color="auto"/>
            </w:tcBorders>
            <w:vAlign w:val="center"/>
            <w:hideMark/>
          </w:tcPr>
          <w:p w14:paraId="37C3A26D" w14:textId="77777777" w:rsidR="00280DD9" w:rsidRPr="00B961D1" w:rsidRDefault="00280DD9" w:rsidP="00381491">
            <w:pPr>
              <w:widowControl/>
              <w:jc w:val="left"/>
              <w:rPr>
                <w:rFonts w:ascii="仿宋_GB2312" w:eastAsia="仿宋_GB2312" w:hAnsi="宋体" w:cs="宋体"/>
                <w:color w:val="000000"/>
                <w:kern w:val="0"/>
                <w:sz w:val="24"/>
                <w:szCs w:val="24"/>
              </w:rPr>
            </w:pPr>
          </w:p>
        </w:tc>
        <w:tc>
          <w:tcPr>
            <w:tcW w:w="1431" w:type="dxa"/>
            <w:tcBorders>
              <w:top w:val="single" w:sz="8" w:space="0" w:color="auto"/>
              <w:left w:val="single" w:sz="8" w:space="0" w:color="auto"/>
              <w:bottom w:val="single" w:sz="8" w:space="0" w:color="auto"/>
              <w:right w:val="single" w:sz="8" w:space="0" w:color="auto"/>
            </w:tcBorders>
            <w:vAlign w:val="center"/>
            <w:hideMark/>
          </w:tcPr>
          <w:p w14:paraId="673AFCD9"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单边持仓量＞80,000</w:t>
            </w:r>
          </w:p>
        </w:tc>
        <w:tc>
          <w:tcPr>
            <w:tcW w:w="1984" w:type="dxa"/>
            <w:gridSpan w:val="2"/>
            <w:tcBorders>
              <w:top w:val="single" w:sz="8" w:space="0" w:color="auto"/>
              <w:left w:val="single" w:sz="8" w:space="0" w:color="auto"/>
              <w:bottom w:val="single" w:sz="8" w:space="0" w:color="auto"/>
              <w:right w:val="single" w:sz="8" w:space="0" w:color="auto"/>
            </w:tcBorders>
            <w:vAlign w:val="center"/>
            <w:hideMark/>
          </w:tcPr>
          <w:p w14:paraId="5D02F516"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单边持仓量×10%</w:t>
            </w:r>
          </w:p>
        </w:tc>
        <w:tc>
          <w:tcPr>
            <w:tcW w:w="4820" w:type="dxa"/>
            <w:vMerge/>
            <w:tcBorders>
              <w:top w:val="single" w:sz="8" w:space="0" w:color="auto"/>
              <w:left w:val="single" w:sz="8" w:space="0" w:color="auto"/>
              <w:bottom w:val="single" w:sz="8" w:space="0" w:color="auto"/>
              <w:right w:val="single" w:sz="8" w:space="0" w:color="auto"/>
            </w:tcBorders>
            <w:vAlign w:val="center"/>
            <w:hideMark/>
          </w:tcPr>
          <w:p w14:paraId="5581282E" w14:textId="77777777" w:rsidR="00280DD9" w:rsidRPr="00B961D1" w:rsidRDefault="00280DD9" w:rsidP="00381491">
            <w:pPr>
              <w:widowControl/>
              <w:jc w:val="left"/>
              <w:rPr>
                <w:rFonts w:ascii="仿宋_GB2312" w:eastAsia="仿宋_GB2312" w:hAnsi="宋体" w:cs="宋体"/>
                <w:color w:val="000000"/>
                <w:kern w:val="0"/>
                <w:sz w:val="24"/>
                <w:szCs w:val="24"/>
              </w:rPr>
            </w:pPr>
          </w:p>
        </w:tc>
        <w:tc>
          <w:tcPr>
            <w:tcW w:w="1417" w:type="dxa"/>
            <w:vMerge/>
            <w:tcBorders>
              <w:top w:val="single" w:sz="8" w:space="0" w:color="auto"/>
              <w:left w:val="single" w:sz="8" w:space="0" w:color="auto"/>
              <w:bottom w:val="single" w:sz="8" w:space="0" w:color="auto"/>
              <w:right w:val="single" w:sz="8" w:space="0" w:color="auto"/>
            </w:tcBorders>
            <w:vAlign w:val="center"/>
            <w:hideMark/>
          </w:tcPr>
          <w:p w14:paraId="56EF48B9" w14:textId="77777777" w:rsidR="00280DD9" w:rsidRPr="00B961D1" w:rsidRDefault="00280DD9" w:rsidP="00381491">
            <w:pPr>
              <w:widowControl/>
              <w:jc w:val="left"/>
              <w:rPr>
                <w:rFonts w:ascii="仿宋_GB2312" w:eastAsia="仿宋_GB2312" w:hAnsi="宋体" w:cs="宋体"/>
                <w:color w:val="000000"/>
                <w:kern w:val="0"/>
                <w:sz w:val="24"/>
                <w:szCs w:val="24"/>
              </w:rPr>
            </w:pPr>
          </w:p>
        </w:tc>
        <w:tc>
          <w:tcPr>
            <w:tcW w:w="2694" w:type="dxa"/>
            <w:gridSpan w:val="2"/>
            <w:vMerge/>
            <w:tcBorders>
              <w:top w:val="single" w:sz="8" w:space="0" w:color="auto"/>
              <w:left w:val="single" w:sz="8" w:space="0" w:color="auto"/>
              <w:bottom w:val="single" w:sz="8" w:space="0" w:color="auto"/>
              <w:right w:val="single" w:sz="8" w:space="0" w:color="auto"/>
            </w:tcBorders>
            <w:vAlign w:val="center"/>
            <w:hideMark/>
          </w:tcPr>
          <w:p w14:paraId="34C5BD25" w14:textId="77777777" w:rsidR="00280DD9" w:rsidRPr="00B961D1" w:rsidRDefault="00280DD9" w:rsidP="00381491">
            <w:pPr>
              <w:widowControl/>
              <w:jc w:val="left"/>
              <w:rPr>
                <w:rFonts w:ascii="仿宋_GB2312" w:eastAsia="仿宋_GB2312" w:hAnsi="宋体" w:cs="宋体"/>
                <w:color w:val="000000"/>
                <w:kern w:val="0"/>
                <w:sz w:val="24"/>
                <w:szCs w:val="24"/>
              </w:rPr>
            </w:pPr>
          </w:p>
        </w:tc>
      </w:tr>
      <w:tr w:rsidR="00280DD9" w:rsidRPr="00B961D1" w14:paraId="4AE8FE37" w14:textId="77777777" w:rsidTr="00381491">
        <w:trPr>
          <w:trHeight w:val="2184"/>
          <w:jc w:val="center"/>
        </w:trPr>
        <w:tc>
          <w:tcPr>
            <w:tcW w:w="984" w:type="dxa"/>
            <w:vMerge/>
            <w:tcBorders>
              <w:top w:val="single" w:sz="8" w:space="0" w:color="auto"/>
              <w:left w:val="single" w:sz="8" w:space="0" w:color="auto"/>
              <w:bottom w:val="single" w:sz="8" w:space="0" w:color="auto"/>
              <w:right w:val="single" w:sz="8" w:space="0" w:color="auto"/>
            </w:tcBorders>
            <w:vAlign w:val="center"/>
            <w:hideMark/>
          </w:tcPr>
          <w:p w14:paraId="19D3DA3D" w14:textId="77777777" w:rsidR="00280DD9" w:rsidRPr="00B961D1" w:rsidRDefault="00280DD9" w:rsidP="00381491">
            <w:pPr>
              <w:widowControl/>
              <w:jc w:val="left"/>
              <w:rPr>
                <w:rFonts w:ascii="仿宋_GB2312" w:eastAsia="仿宋_GB2312" w:hAnsi="宋体" w:cs="宋体"/>
                <w:color w:val="000000"/>
                <w:kern w:val="0"/>
                <w:sz w:val="24"/>
                <w:szCs w:val="24"/>
              </w:rPr>
            </w:pPr>
          </w:p>
        </w:tc>
        <w:tc>
          <w:tcPr>
            <w:tcW w:w="1261" w:type="dxa"/>
            <w:tcBorders>
              <w:top w:val="single" w:sz="8" w:space="0" w:color="auto"/>
              <w:left w:val="single" w:sz="8" w:space="0" w:color="auto"/>
              <w:bottom w:val="single" w:sz="8" w:space="0" w:color="auto"/>
              <w:right w:val="single" w:sz="8" w:space="0" w:color="auto"/>
            </w:tcBorders>
            <w:vAlign w:val="center"/>
            <w:hideMark/>
          </w:tcPr>
          <w:p w14:paraId="6F680882"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交割月份前一个月第十五个交易日至该月最后一个交易日</w:t>
            </w:r>
          </w:p>
        </w:tc>
        <w:tc>
          <w:tcPr>
            <w:tcW w:w="1431" w:type="dxa"/>
            <w:tcBorders>
              <w:top w:val="single" w:sz="8" w:space="0" w:color="auto"/>
              <w:left w:val="single" w:sz="8" w:space="0" w:color="auto"/>
              <w:bottom w:val="single" w:sz="8" w:space="0" w:color="auto"/>
              <w:right w:val="single" w:sz="8" w:space="0" w:color="auto"/>
            </w:tcBorders>
            <w:vAlign w:val="center"/>
            <w:hideMark/>
          </w:tcPr>
          <w:p w14:paraId="051B65D5"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w:t>
            </w:r>
          </w:p>
        </w:tc>
        <w:tc>
          <w:tcPr>
            <w:tcW w:w="1984" w:type="dxa"/>
            <w:gridSpan w:val="2"/>
            <w:tcBorders>
              <w:top w:val="single" w:sz="8" w:space="0" w:color="auto"/>
              <w:left w:val="single" w:sz="8" w:space="0" w:color="auto"/>
              <w:bottom w:val="single" w:sz="8" w:space="0" w:color="auto"/>
              <w:right w:val="single" w:sz="8" w:space="0" w:color="auto"/>
            </w:tcBorders>
            <w:noWrap/>
            <w:vAlign w:val="center"/>
            <w:hideMark/>
          </w:tcPr>
          <w:p w14:paraId="071E4093"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3000</w:t>
            </w:r>
          </w:p>
        </w:tc>
        <w:tc>
          <w:tcPr>
            <w:tcW w:w="1418" w:type="dxa"/>
            <w:tcBorders>
              <w:top w:val="single" w:sz="8" w:space="0" w:color="auto"/>
              <w:left w:val="single" w:sz="8" w:space="0" w:color="auto"/>
              <w:bottom w:val="single" w:sz="8" w:space="0" w:color="auto"/>
              <w:right w:val="single" w:sz="8" w:space="0" w:color="auto"/>
            </w:tcBorders>
            <w:vAlign w:val="center"/>
            <w:hideMark/>
          </w:tcPr>
          <w:p w14:paraId="2E9FF09D"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交割月份前一个月第十五个交易日至该月最后一个交易日</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8DE8D21"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单边持仓量＞80,000</w:t>
            </w:r>
          </w:p>
        </w:tc>
        <w:tc>
          <w:tcPr>
            <w:tcW w:w="1985" w:type="dxa"/>
            <w:gridSpan w:val="2"/>
            <w:tcBorders>
              <w:top w:val="single" w:sz="8" w:space="0" w:color="auto"/>
              <w:left w:val="single" w:sz="8" w:space="0" w:color="auto"/>
              <w:bottom w:val="single" w:sz="8" w:space="0" w:color="auto"/>
              <w:right w:val="single" w:sz="8" w:space="0" w:color="auto"/>
            </w:tcBorders>
            <w:vAlign w:val="center"/>
            <w:hideMark/>
          </w:tcPr>
          <w:p w14:paraId="1CD8F984"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1000（维持该标准，直至该月最后一个交易日）</w:t>
            </w:r>
          </w:p>
        </w:tc>
      </w:tr>
      <w:tr w:rsidR="00280DD9" w:rsidRPr="00B961D1" w14:paraId="0272D93C" w14:textId="77777777" w:rsidTr="00381491">
        <w:trPr>
          <w:trHeight w:val="299"/>
          <w:jc w:val="center"/>
        </w:trPr>
        <w:tc>
          <w:tcPr>
            <w:tcW w:w="984" w:type="dxa"/>
            <w:vMerge/>
            <w:tcBorders>
              <w:top w:val="single" w:sz="8" w:space="0" w:color="auto"/>
              <w:left w:val="single" w:sz="8" w:space="0" w:color="auto"/>
              <w:bottom w:val="single" w:sz="8" w:space="0" w:color="auto"/>
              <w:right w:val="single" w:sz="8" w:space="0" w:color="auto"/>
            </w:tcBorders>
            <w:vAlign w:val="center"/>
            <w:hideMark/>
          </w:tcPr>
          <w:p w14:paraId="676D65D6" w14:textId="77777777" w:rsidR="00280DD9" w:rsidRPr="00B961D1" w:rsidRDefault="00280DD9" w:rsidP="00381491">
            <w:pPr>
              <w:widowControl/>
              <w:jc w:val="left"/>
              <w:rPr>
                <w:rFonts w:ascii="仿宋_GB2312" w:eastAsia="仿宋_GB2312" w:hAnsi="宋体" w:cs="宋体"/>
                <w:color w:val="000000"/>
                <w:kern w:val="0"/>
                <w:sz w:val="24"/>
                <w:szCs w:val="24"/>
              </w:rPr>
            </w:pPr>
          </w:p>
        </w:tc>
        <w:tc>
          <w:tcPr>
            <w:tcW w:w="1261" w:type="dxa"/>
            <w:tcBorders>
              <w:top w:val="single" w:sz="8" w:space="0" w:color="auto"/>
              <w:left w:val="single" w:sz="8" w:space="0" w:color="auto"/>
              <w:bottom w:val="single" w:sz="8" w:space="0" w:color="auto"/>
              <w:right w:val="single" w:sz="8" w:space="0" w:color="auto"/>
            </w:tcBorders>
            <w:vAlign w:val="center"/>
            <w:hideMark/>
          </w:tcPr>
          <w:p w14:paraId="6AE8A51F"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交割月份</w:t>
            </w:r>
          </w:p>
        </w:tc>
        <w:tc>
          <w:tcPr>
            <w:tcW w:w="1431" w:type="dxa"/>
            <w:tcBorders>
              <w:top w:val="single" w:sz="8" w:space="0" w:color="auto"/>
              <w:left w:val="single" w:sz="8" w:space="0" w:color="auto"/>
              <w:bottom w:val="single" w:sz="8" w:space="0" w:color="auto"/>
              <w:right w:val="single" w:sz="8" w:space="0" w:color="auto"/>
            </w:tcBorders>
            <w:vAlign w:val="center"/>
            <w:hideMark/>
          </w:tcPr>
          <w:p w14:paraId="7A13830E"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w:t>
            </w:r>
          </w:p>
        </w:tc>
        <w:tc>
          <w:tcPr>
            <w:tcW w:w="1984" w:type="dxa"/>
            <w:gridSpan w:val="2"/>
            <w:tcBorders>
              <w:top w:val="single" w:sz="8" w:space="0" w:color="auto"/>
              <w:left w:val="single" w:sz="8" w:space="0" w:color="auto"/>
              <w:bottom w:val="single" w:sz="8" w:space="0" w:color="auto"/>
              <w:right w:val="single" w:sz="8" w:space="0" w:color="auto"/>
            </w:tcBorders>
            <w:noWrap/>
            <w:vAlign w:val="center"/>
            <w:hideMark/>
          </w:tcPr>
          <w:p w14:paraId="5997A665" w14:textId="77777777" w:rsidR="00280DD9" w:rsidRPr="00B961D1" w:rsidRDefault="00280DD9" w:rsidP="00381491">
            <w:pPr>
              <w:widowControl/>
              <w:jc w:val="center"/>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1000</w:t>
            </w:r>
          </w:p>
        </w:tc>
        <w:tc>
          <w:tcPr>
            <w:tcW w:w="1418" w:type="dxa"/>
            <w:tcBorders>
              <w:top w:val="single" w:sz="8" w:space="0" w:color="auto"/>
              <w:left w:val="single" w:sz="8" w:space="0" w:color="auto"/>
              <w:bottom w:val="single" w:sz="8" w:space="0" w:color="auto"/>
              <w:right w:val="single" w:sz="8" w:space="0" w:color="auto"/>
            </w:tcBorders>
            <w:vAlign w:val="center"/>
            <w:hideMark/>
          </w:tcPr>
          <w:p w14:paraId="29D769B4"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7FEDF47"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w:t>
            </w:r>
          </w:p>
        </w:tc>
        <w:tc>
          <w:tcPr>
            <w:tcW w:w="1276" w:type="dxa"/>
            <w:tcBorders>
              <w:top w:val="single" w:sz="8" w:space="0" w:color="auto"/>
              <w:left w:val="single" w:sz="8" w:space="0" w:color="auto"/>
              <w:bottom w:val="single" w:sz="8" w:space="0" w:color="auto"/>
              <w:right w:val="single" w:sz="8" w:space="0" w:color="auto"/>
            </w:tcBorders>
            <w:noWrap/>
            <w:vAlign w:val="center"/>
            <w:hideMark/>
          </w:tcPr>
          <w:p w14:paraId="17C88C2C"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w:t>
            </w:r>
          </w:p>
        </w:tc>
        <w:tc>
          <w:tcPr>
            <w:tcW w:w="709" w:type="dxa"/>
            <w:tcBorders>
              <w:top w:val="single" w:sz="8" w:space="0" w:color="auto"/>
              <w:left w:val="single" w:sz="8" w:space="0" w:color="auto"/>
              <w:bottom w:val="single" w:sz="8" w:space="0" w:color="auto"/>
              <w:right w:val="single" w:sz="8" w:space="0" w:color="auto"/>
            </w:tcBorders>
            <w:noWrap/>
            <w:vAlign w:val="center"/>
            <w:hideMark/>
          </w:tcPr>
          <w:p w14:paraId="03B6449C" w14:textId="77777777" w:rsidR="00280DD9" w:rsidRPr="00B961D1" w:rsidRDefault="00280DD9" w:rsidP="00381491">
            <w:pPr>
              <w:widowControl/>
              <w:rPr>
                <w:rFonts w:ascii="仿宋_GB2312" w:eastAsia="仿宋_GB2312" w:hAnsi="宋体" w:cs="宋体"/>
                <w:color w:val="000000"/>
                <w:kern w:val="0"/>
                <w:sz w:val="24"/>
                <w:szCs w:val="24"/>
              </w:rPr>
            </w:pPr>
            <w:r w:rsidRPr="00B961D1">
              <w:rPr>
                <w:rFonts w:ascii="仿宋_GB2312" w:eastAsia="仿宋_GB2312" w:hAnsi="宋体" w:cs="宋体" w:hint="eastAsia"/>
                <w:color w:val="000000"/>
                <w:kern w:val="0"/>
                <w:sz w:val="24"/>
                <w:szCs w:val="24"/>
              </w:rPr>
              <w:t>——</w:t>
            </w:r>
          </w:p>
        </w:tc>
      </w:tr>
    </w:tbl>
    <w:p w14:paraId="0B048DFE"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p>
    <w:p w14:paraId="48C80FC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第三十条</w:t>
      </w: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 xml:space="preserve"> 非期货公司会员或客户的持仓数量不得超过交易所规定的持仓限额，超过持仓限额的，不得同方向开仓交易。对超过持仓限额的非期货公司会员或客户，交易所将于下一交易日按有关规定执行强行平仓。</w:t>
      </w:r>
    </w:p>
    <w:p w14:paraId="3E12599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一个客户在不同期货公司会员处开有多个交易编码，其持仓量合计超出限仓数额的，由交易所指定有关期货公司会员对该客户超额持仓执行强行平仓。</w:t>
      </w:r>
    </w:p>
    <w:p w14:paraId="6102EC2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对超过持仓限额的非期货公司会员或者客户，交易所还可以采取电话提示、要求报告情况、要求提交书面承诺、列入重点监管名单、限制开仓等措施。</w:t>
      </w:r>
    </w:p>
    <w:p w14:paraId="4829DA19"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第五章</w:t>
      </w: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 xml:space="preserve"> 交易限额制度</w:t>
      </w:r>
    </w:p>
    <w:p w14:paraId="08A0D3B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第三十一条 交易所实行交易限额制度。交易限额是指交易所规定会员或者客户对某一合约在某一期限内开仓的最大数量。交易所可以根据市场情况，对不同上市品种、合约，对部分或者全部的会员、客户，制定交易限额，具体标准由交易所另行公布。</w:t>
      </w:r>
    </w:p>
    <w:p w14:paraId="1CE5E247"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套期保值交易和做市交易的开仓数量不受本条前款限制。</w:t>
      </w:r>
    </w:p>
    <w:p w14:paraId="3A26816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第三十二条 非期货公司会员或者客户的开仓数量不得超过交易所规定的交易限额。对超过交易限额的非期货公司会员或者客户，交易所可以采取电话提示、要求报告情况、要求提交书面承诺、列入重点监管名单、暂停开仓交易等措施。</w:t>
      </w:r>
    </w:p>
    <w:p w14:paraId="723E39EE"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第六章 大户报告制度</w:t>
      </w:r>
    </w:p>
    <w:p w14:paraId="58415B8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第三十三条 交易所实行大户报告制度。当非期货公司会员或客户某品种持仓合约的投机头寸达到交易所对其规定的投机头寸持仓限量80%以上（含本数）时, 非期货公司会员或客户应向交易所报告其资金情况、头寸情况，客户须通过期货公司会员报告；委托境外经纪机构从事期货交易的客户，应当委托其境外经纪机构报告，境外经纪机构再委托期货公司会员报告。</w:t>
      </w:r>
    </w:p>
    <w:p w14:paraId="5E61B58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非期货公司会员、客户应当保证所提供的大户持仓报告和其他材料的真实性、准确性和完整性。</w:t>
      </w:r>
    </w:p>
    <w:p w14:paraId="657E6B5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交易所可根据市场风险状况，调整改变持仓报告水平。</w:t>
      </w:r>
    </w:p>
    <w:p w14:paraId="3DE9AEC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第三十四条 非期货公司会员或客户的持仓达到交易所报告界限的，非期货公司会员或客户应主动于下一交易日15:00时前向交易所报告。如需再次报告或补充报告，交易所将通知有关会员。</w:t>
      </w:r>
    </w:p>
    <w:p w14:paraId="48E2893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第三十五条 达到交易所报告界限的非期货公司会员应向交易所提供下列材料：</w:t>
      </w:r>
    </w:p>
    <w:p w14:paraId="35B5FD8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（一）填写完整的《非期货公司会员大户报告表》（见附件2），内容包括会员名称、会员号、合约代码、现有持仓、持仓性质、持仓保证金、可动用资金、持仓意向、预报交割数量、申请交割数量；</w:t>
      </w:r>
    </w:p>
    <w:p w14:paraId="21CC375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（二）资金来源说明；</w:t>
      </w:r>
    </w:p>
    <w:p w14:paraId="3274559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（三）交易所要求提供的其他材料。</w:t>
      </w:r>
    </w:p>
    <w:p w14:paraId="3403FF7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第三十六条 达到交易所报告界限的客户应提供下列材料：</w:t>
      </w:r>
    </w:p>
    <w:p w14:paraId="186C0C8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（一）填写完整的《客户大户报告表》（见附件3），内容包括会员名称、会员号、客户名称和编码、合约代码、现有持仓、持仓性质、持仓保证金、可动用资金、持仓意向、预报交割数量、申请交割数量等；</w:t>
      </w:r>
    </w:p>
    <w:p w14:paraId="0429C63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（二）资金来源说明；</w:t>
      </w:r>
    </w:p>
    <w:p w14:paraId="51A66C7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（三）开户材料及当日结算单据；</w:t>
      </w:r>
    </w:p>
    <w:p w14:paraId="789C29C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（四）交易所要求提供的其他材料。</w:t>
      </w:r>
    </w:p>
    <w:p w14:paraId="19FBD6F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第三十七条 期货公司会员、境外经纪机构应对达到交易所报告界限的客户所提供的有关材料进行初审，然后由期货公司会员转交交易所。期货公司会员、境外经纪机构应保证客户所提供的材料的真实性和准确性。</w:t>
      </w:r>
    </w:p>
    <w:p w14:paraId="6D729E9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第三十八条 交易所将不定期地对会员、境外经纪机构或客户提供的材料进行核查。</w:t>
      </w:r>
    </w:p>
    <w:p w14:paraId="6139FC8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第三十九条 客户在不同期货公司会员处开有多个交易编码，各交易编码持有头寸合计达到报告界限，由交易所指定并通知有关期货公司会员，负责报送该客户应报告情况的有关材料。</w:t>
      </w:r>
    </w:p>
    <w:p w14:paraId="089A0849"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第七章 强行平仓制度</w:t>
      </w:r>
    </w:p>
    <w:p w14:paraId="183C9D4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第四十条 为控制市场风险，交易所实行强行平仓制度。强行平仓是指当会员、客户违规时，交易所对有关持仓实行平仓的一种强制措施。</w:t>
      </w:r>
    </w:p>
    <w:p w14:paraId="686B896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第四十一条 当会员、客户出现下列情形之一时，交易所有权对其持仓进行强行平仓：</w:t>
      </w:r>
    </w:p>
    <w:p w14:paraId="008447D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（一）会员结算准备金余额小于零，并未能在规定时限内补足的；</w:t>
      </w:r>
    </w:p>
    <w:p w14:paraId="6DC48E6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（二）非期货公司会员和客户持仓量超出其限仓规定的；</w:t>
      </w:r>
    </w:p>
    <w:p w14:paraId="2898891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（三）因违规受到交易所强行平仓处罚的；</w:t>
      </w:r>
    </w:p>
    <w:p w14:paraId="7ED13F0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（四）根据交易所的紧急措施应予强行平仓的；</w:t>
      </w:r>
    </w:p>
    <w:p w14:paraId="3C6AF3E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（五）其他应予强行平仓的。</w:t>
      </w:r>
    </w:p>
    <w:p w14:paraId="6E1C16D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第四十二条 强行平仓的执行原则：</w:t>
      </w:r>
    </w:p>
    <w:p w14:paraId="46A6521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强行平仓先由会员自己执行，除交易所特别规定外，对</w:t>
      </w:r>
      <w:proofErr w:type="gramStart"/>
      <w:r w:rsidRPr="00B961D1">
        <w:rPr>
          <w:rFonts w:ascii="仿宋_GB2312" w:eastAsia="仿宋_GB2312" w:hAnsi="&amp;quot" w:cs="宋体" w:hint="eastAsia"/>
          <w:color w:val="333333"/>
          <w:kern w:val="0"/>
          <w:sz w:val="32"/>
          <w:szCs w:val="32"/>
        </w:rPr>
        <w:t>开设夜盘交易</w:t>
      </w:r>
      <w:proofErr w:type="gramEnd"/>
      <w:r w:rsidRPr="00B961D1">
        <w:rPr>
          <w:rFonts w:ascii="仿宋_GB2312" w:eastAsia="仿宋_GB2312" w:hAnsi="&amp;quot" w:cs="宋体" w:hint="eastAsia"/>
          <w:color w:val="333333"/>
          <w:kern w:val="0"/>
          <w:sz w:val="32"/>
          <w:szCs w:val="32"/>
        </w:rPr>
        <w:t>的品种，其时限</w:t>
      </w:r>
      <w:proofErr w:type="gramStart"/>
      <w:r w:rsidRPr="00B961D1">
        <w:rPr>
          <w:rFonts w:ascii="仿宋_GB2312" w:eastAsia="仿宋_GB2312" w:hAnsi="&amp;quot" w:cs="宋体" w:hint="eastAsia"/>
          <w:color w:val="333333"/>
          <w:kern w:val="0"/>
          <w:sz w:val="32"/>
          <w:szCs w:val="32"/>
        </w:rPr>
        <w:t>为夜盘交易</w:t>
      </w:r>
      <w:proofErr w:type="gramEnd"/>
      <w:r w:rsidRPr="00B961D1">
        <w:rPr>
          <w:rFonts w:ascii="仿宋_GB2312" w:eastAsia="仿宋_GB2312" w:hAnsi="&amp;quot" w:cs="宋体" w:hint="eastAsia"/>
          <w:color w:val="333333"/>
          <w:kern w:val="0"/>
          <w:sz w:val="32"/>
          <w:szCs w:val="32"/>
        </w:rPr>
        <w:t>小节、第一节和第二节交易时间内；对未</w:t>
      </w:r>
      <w:proofErr w:type="gramStart"/>
      <w:r w:rsidRPr="00B961D1">
        <w:rPr>
          <w:rFonts w:ascii="仿宋_GB2312" w:eastAsia="仿宋_GB2312" w:hAnsi="&amp;quot" w:cs="宋体" w:hint="eastAsia"/>
          <w:color w:val="333333"/>
          <w:kern w:val="0"/>
          <w:sz w:val="32"/>
          <w:szCs w:val="32"/>
        </w:rPr>
        <w:t>开设夜盘交易</w:t>
      </w:r>
      <w:proofErr w:type="gramEnd"/>
      <w:r w:rsidRPr="00B961D1">
        <w:rPr>
          <w:rFonts w:ascii="仿宋_GB2312" w:eastAsia="仿宋_GB2312" w:hAnsi="&amp;quot" w:cs="宋体" w:hint="eastAsia"/>
          <w:color w:val="333333"/>
          <w:kern w:val="0"/>
          <w:sz w:val="32"/>
          <w:szCs w:val="32"/>
        </w:rPr>
        <w:t>的品种，其时限为第一节和第二节交易时间内。若时限内会员未执行完毕，则第三节起由交易所强制执行。因结算准备金小于零而被要求强行平仓的，在保证金补足至最低结算准备金余额前，禁止相关会员的开仓交易。</w:t>
      </w:r>
    </w:p>
    <w:p w14:paraId="75A6FCC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属第四十一条第（三）、（四）、（五）项的强行平仓，其强行平仓时间由交易所另行通知。</w:t>
      </w:r>
    </w:p>
    <w:p w14:paraId="223BB39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（一）由会员单位执行的强行平</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寸的确定</w:t>
      </w:r>
    </w:p>
    <w:p w14:paraId="676546F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 属第四十一条第（一）、（二）项的强行平仓，</w:t>
      </w:r>
      <w:proofErr w:type="gramStart"/>
      <w:r w:rsidRPr="00B961D1">
        <w:rPr>
          <w:rFonts w:ascii="仿宋_GB2312" w:eastAsia="仿宋_GB2312" w:hAnsi="&amp;quot" w:cs="宋体" w:hint="eastAsia"/>
          <w:color w:val="333333"/>
          <w:kern w:val="0"/>
          <w:sz w:val="32"/>
          <w:szCs w:val="32"/>
        </w:rPr>
        <w:t>其需强行</w:t>
      </w:r>
      <w:proofErr w:type="gramEnd"/>
      <w:r w:rsidRPr="00B961D1">
        <w:rPr>
          <w:rFonts w:ascii="仿宋_GB2312" w:eastAsia="仿宋_GB2312" w:hAnsi="&amp;quot" w:cs="宋体" w:hint="eastAsia"/>
          <w:color w:val="333333"/>
          <w:kern w:val="0"/>
          <w:sz w:val="32"/>
          <w:szCs w:val="32"/>
        </w:rPr>
        <w:t>平</w:t>
      </w:r>
      <w:proofErr w:type="gramStart"/>
      <w:r w:rsidRPr="00B961D1">
        <w:rPr>
          <w:rFonts w:ascii="仿宋_GB2312" w:eastAsia="仿宋_GB2312" w:hAnsi="&amp;quot" w:cs="宋体" w:hint="eastAsia"/>
          <w:color w:val="333333"/>
          <w:kern w:val="0"/>
          <w:sz w:val="32"/>
          <w:szCs w:val="32"/>
        </w:rPr>
        <w:t>仓头寸由会员</w:t>
      </w:r>
      <w:proofErr w:type="gramEnd"/>
      <w:r w:rsidRPr="00B961D1">
        <w:rPr>
          <w:rFonts w:ascii="仿宋_GB2312" w:eastAsia="仿宋_GB2312" w:hAnsi="&amp;quot" w:cs="宋体" w:hint="eastAsia"/>
          <w:color w:val="333333"/>
          <w:kern w:val="0"/>
          <w:sz w:val="32"/>
          <w:szCs w:val="32"/>
        </w:rPr>
        <w:t>单位自行确定，只要强行平仓结果符合交易所规则即可。</w:t>
      </w:r>
    </w:p>
    <w:p w14:paraId="335FC0B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 属第四十一条第（三）、（四）、（五）项的强行平仓，</w:t>
      </w:r>
      <w:proofErr w:type="gramStart"/>
      <w:r w:rsidRPr="00B961D1">
        <w:rPr>
          <w:rFonts w:ascii="仿宋_GB2312" w:eastAsia="仿宋_GB2312" w:hAnsi="&amp;quot" w:cs="宋体" w:hint="eastAsia"/>
          <w:color w:val="333333"/>
          <w:kern w:val="0"/>
          <w:sz w:val="32"/>
          <w:szCs w:val="32"/>
        </w:rPr>
        <w:t>其需强行</w:t>
      </w:r>
      <w:proofErr w:type="gramEnd"/>
      <w:r w:rsidRPr="00B961D1">
        <w:rPr>
          <w:rFonts w:ascii="仿宋_GB2312" w:eastAsia="仿宋_GB2312" w:hAnsi="&amp;quot" w:cs="宋体" w:hint="eastAsia"/>
          <w:color w:val="333333"/>
          <w:kern w:val="0"/>
          <w:sz w:val="32"/>
          <w:szCs w:val="32"/>
        </w:rPr>
        <w:t>平</w:t>
      </w:r>
      <w:proofErr w:type="gramStart"/>
      <w:r w:rsidRPr="00B961D1">
        <w:rPr>
          <w:rFonts w:ascii="仿宋_GB2312" w:eastAsia="仿宋_GB2312" w:hAnsi="&amp;quot" w:cs="宋体" w:hint="eastAsia"/>
          <w:color w:val="333333"/>
          <w:kern w:val="0"/>
          <w:sz w:val="32"/>
          <w:szCs w:val="32"/>
        </w:rPr>
        <w:t>仓头寸由交易所</w:t>
      </w:r>
      <w:proofErr w:type="gramEnd"/>
      <w:r w:rsidRPr="00B961D1">
        <w:rPr>
          <w:rFonts w:ascii="仿宋_GB2312" w:eastAsia="仿宋_GB2312" w:hAnsi="&amp;quot" w:cs="宋体" w:hint="eastAsia"/>
          <w:color w:val="333333"/>
          <w:kern w:val="0"/>
          <w:sz w:val="32"/>
          <w:szCs w:val="32"/>
        </w:rPr>
        <w:t>确定。</w:t>
      </w:r>
    </w:p>
    <w:p w14:paraId="7B71815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（二）由交易所执行的强行平</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寸的确定</w:t>
      </w:r>
    </w:p>
    <w:p w14:paraId="4C7C351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 属第四十一条第（一）项的强行平仓，交易所以该会员在13：00的结算准备金余额为依据，计算会员应追加的交易保证金，该会员所有客户按交易保证金等比例平仓原则进行强行平仓：</w:t>
      </w:r>
    </w:p>
    <w:p w14:paraId="540E3DB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平仓比例 = 会员应追加交易保证金 /会员交易保证金总额×100%</w:t>
      </w:r>
    </w:p>
    <w:p w14:paraId="4162D82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客户应平仓释放交易保证金 = 该客户交易保证金总额×平仓比例</w:t>
      </w:r>
    </w:p>
    <w:p w14:paraId="080AD98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客户需要强行平仓的头寸的总体确定原则</w:t>
      </w:r>
      <w:proofErr w:type="gramStart"/>
      <w:r w:rsidRPr="00B961D1">
        <w:rPr>
          <w:rFonts w:ascii="仿宋_GB2312" w:eastAsia="仿宋_GB2312" w:hAnsi="&amp;quot" w:cs="宋体" w:hint="eastAsia"/>
          <w:color w:val="333333"/>
          <w:kern w:val="0"/>
          <w:sz w:val="32"/>
          <w:szCs w:val="32"/>
        </w:rPr>
        <w:t>为先非组合</w:t>
      </w:r>
      <w:proofErr w:type="gramEnd"/>
      <w:r w:rsidRPr="00B961D1">
        <w:rPr>
          <w:rFonts w:ascii="仿宋_GB2312" w:eastAsia="仿宋_GB2312" w:hAnsi="&amp;quot" w:cs="宋体" w:hint="eastAsia"/>
          <w:color w:val="333333"/>
          <w:kern w:val="0"/>
          <w:sz w:val="32"/>
          <w:szCs w:val="32"/>
        </w:rPr>
        <w:t>持仓、后组合持仓。其中：</w:t>
      </w:r>
    </w:p>
    <w:p w14:paraId="23482B4C"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w:t>
      </w:r>
      <w:proofErr w:type="gramStart"/>
      <w:r w:rsidRPr="00B961D1">
        <w:rPr>
          <w:rFonts w:ascii="仿宋_GB2312" w:eastAsia="仿宋_GB2312" w:hAnsi="&amp;quot" w:cs="宋体" w:hint="eastAsia"/>
          <w:color w:val="333333"/>
          <w:kern w:val="0"/>
          <w:sz w:val="32"/>
          <w:szCs w:val="32"/>
        </w:rPr>
        <w:t>平非组合</w:t>
      </w:r>
      <w:proofErr w:type="gramEnd"/>
      <w:r w:rsidRPr="00B961D1">
        <w:rPr>
          <w:rFonts w:ascii="仿宋_GB2312" w:eastAsia="仿宋_GB2312" w:hAnsi="&amp;quot" w:cs="宋体" w:hint="eastAsia"/>
          <w:color w:val="333333"/>
          <w:kern w:val="0"/>
          <w:sz w:val="32"/>
          <w:szCs w:val="32"/>
        </w:rPr>
        <w:t>持仓时，按先期货、后期权的原则选择强行平仓合约。</w:t>
      </w:r>
    </w:p>
    <w:p w14:paraId="22B1C3E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proofErr w:type="gramStart"/>
      <w:r w:rsidRPr="00B961D1">
        <w:rPr>
          <w:rFonts w:ascii="仿宋_GB2312" w:eastAsia="仿宋_GB2312" w:hAnsi="&amp;quot" w:cs="宋体" w:hint="eastAsia"/>
          <w:color w:val="333333"/>
          <w:kern w:val="0"/>
          <w:sz w:val="32"/>
          <w:szCs w:val="32"/>
        </w:rPr>
        <w:t>平非组合</w:t>
      </w:r>
      <w:proofErr w:type="gramEnd"/>
      <w:r w:rsidRPr="00B961D1">
        <w:rPr>
          <w:rFonts w:ascii="仿宋_GB2312" w:eastAsia="仿宋_GB2312" w:hAnsi="&amp;quot" w:cs="宋体" w:hint="eastAsia"/>
          <w:color w:val="333333"/>
          <w:kern w:val="0"/>
          <w:sz w:val="32"/>
          <w:szCs w:val="32"/>
        </w:rPr>
        <w:t>持仓中的期货持仓时，按先投机、后套期保值，再按上一交易日结算时合约总持仓量由大到小顺序选择强行平仓合约。</w:t>
      </w:r>
    </w:p>
    <w:p w14:paraId="18B423D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proofErr w:type="gramStart"/>
      <w:r w:rsidRPr="00B961D1">
        <w:rPr>
          <w:rFonts w:ascii="仿宋_GB2312" w:eastAsia="仿宋_GB2312" w:hAnsi="&amp;quot" w:cs="宋体" w:hint="eastAsia"/>
          <w:color w:val="333333"/>
          <w:kern w:val="0"/>
          <w:sz w:val="32"/>
          <w:szCs w:val="32"/>
        </w:rPr>
        <w:t>平非组合</w:t>
      </w:r>
      <w:proofErr w:type="gramEnd"/>
      <w:r w:rsidRPr="00B961D1">
        <w:rPr>
          <w:rFonts w:ascii="仿宋_GB2312" w:eastAsia="仿宋_GB2312" w:hAnsi="&amp;quot" w:cs="宋体" w:hint="eastAsia"/>
          <w:color w:val="333333"/>
          <w:kern w:val="0"/>
          <w:sz w:val="32"/>
          <w:szCs w:val="32"/>
        </w:rPr>
        <w:t>持仓中的期权持仓时,按先</w:t>
      </w:r>
      <w:proofErr w:type="gramStart"/>
      <w:r w:rsidRPr="00B961D1">
        <w:rPr>
          <w:rFonts w:ascii="仿宋_GB2312" w:eastAsia="仿宋_GB2312" w:hAnsi="&amp;quot" w:cs="宋体" w:hint="eastAsia"/>
          <w:color w:val="333333"/>
          <w:kern w:val="0"/>
          <w:sz w:val="32"/>
          <w:szCs w:val="32"/>
        </w:rPr>
        <w:t>期权卖</w:t>
      </w:r>
      <w:proofErr w:type="gramEnd"/>
      <w:r w:rsidRPr="00B961D1">
        <w:rPr>
          <w:rFonts w:ascii="仿宋_GB2312" w:eastAsia="仿宋_GB2312" w:hAnsi="&amp;quot" w:cs="宋体" w:hint="eastAsia"/>
          <w:color w:val="333333"/>
          <w:kern w:val="0"/>
          <w:sz w:val="32"/>
          <w:szCs w:val="32"/>
        </w:rPr>
        <w:t>持仓、后</w:t>
      </w:r>
      <w:proofErr w:type="gramStart"/>
      <w:r w:rsidRPr="00B961D1">
        <w:rPr>
          <w:rFonts w:ascii="仿宋_GB2312" w:eastAsia="仿宋_GB2312" w:hAnsi="&amp;quot" w:cs="宋体" w:hint="eastAsia"/>
          <w:color w:val="333333"/>
          <w:kern w:val="0"/>
          <w:sz w:val="32"/>
          <w:szCs w:val="32"/>
        </w:rPr>
        <w:t>期权买</w:t>
      </w:r>
      <w:proofErr w:type="gramEnd"/>
      <w:r w:rsidRPr="00B961D1">
        <w:rPr>
          <w:rFonts w:ascii="仿宋_GB2312" w:eastAsia="仿宋_GB2312" w:hAnsi="&amp;quot" w:cs="宋体" w:hint="eastAsia"/>
          <w:color w:val="333333"/>
          <w:kern w:val="0"/>
          <w:sz w:val="32"/>
          <w:szCs w:val="32"/>
        </w:rPr>
        <w:t>持仓，先投机、后套期保值，再按上一交易日结算时合约总持仓量由大到小顺序选择强行平仓合约。</w:t>
      </w:r>
    </w:p>
    <w:p w14:paraId="51D0DE07"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（2）平组合持仓时，按组合优先级由低到高顺序选择强行平仓合约。</w:t>
      </w:r>
    </w:p>
    <w:p w14:paraId="54E29F57"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若多个会员需要强行平仓的，按追加保证金由大到小的顺序，先</w:t>
      </w:r>
      <w:proofErr w:type="gramStart"/>
      <w:r w:rsidRPr="00B961D1">
        <w:rPr>
          <w:rFonts w:ascii="仿宋_GB2312" w:eastAsia="仿宋_GB2312" w:hAnsi="&amp;quot" w:cs="宋体" w:hint="eastAsia"/>
          <w:color w:val="333333"/>
          <w:kern w:val="0"/>
          <w:sz w:val="32"/>
          <w:szCs w:val="32"/>
        </w:rPr>
        <w:t>平需要</w:t>
      </w:r>
      <w:proofErr w:type="gramEnd"/>
      <w:r w:rsidRPr="00B961D1">
        <w:rPr>
          <w:rFonts w:ascii="仿宋_GB2312" w:eastAsia="仿宋_GB2312" w:hAnsi="&amp;quot" w:cs="宋体" w:hint="eastAsia"/>
          <w:color w:val="333333"/>
          <w:kern w:val="0"/>
          <w:sz w:val="32"/>
          <w:szCs w:val="32"/>
        </w:rPr>
        <w:t>追加保证金大的会员。</w:t>
      </w:r>
    </w:p>
    <w:p w14:paraId="15079C8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 属第四十一条第（二）项的强行平仓：若既有投机</w:t>
      </w:r>
      <w:proofErr w:type="gramStart"/>
      <w:r w:rsidRPr="00B961D1">
        <w:rPr>
          <w:rFonts w:ascii="仿宋_GB2312" w:eastAsia="仿宋_GB2312" w:hAnsi="&amp;quot" w:cs="宋体" w:hint="eastAsia"/>
          <w:color w:val="333333"/>
          <w:kern w:val="0"/>
          <w:sz w:val="32"/>
          <w:szCs w:val="32"/>
        </w:rPr>
        <w:t>持仓超仓也有</w:t>
      </w:r>
      <w:proofErr w:type="gramEnd"/>
      <w:r w:rsidRPr="00B961D1">
        <w:rPr>
          <w:rFonts w:ascii="仿宋_GB2312" w:eastAsia="仿宋_GB2312" w:hAnsi="&amp;quot" w:cs="宋体" w:hint="eastAsia"/>
          <w:color w:val="333333"/>
          <w:kern w:val="0"/>
          <w:sz w:val="32"/>
          <w:szCs w:val="32"/>
        </w:rPr>
        <w:t>保值持仓超仓，则按先投机持仓后保值持仓的顺序强行平仓。</w:t>
      </w:r>
    </w:p>
    <w:p w14:paraId="600DC62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若客户在多个期货公司会员处持有投机持仓，则按该客户投机持仓数量由大到小的顺序选择期货公司会员强行平仓。若多个客户投机持仓超仓，则按客户投机</w:t>
      </w:r>
      <w:proofErr w:type="gramStart"/>
      <w:r w:rsidRPr="00B961D1">
        <w:rPr>
          <w:rFonts w:ascii="仿宋_GB2312" w:eastAsia="仿宋_GB2312" w:hAnsi="&amp;quot" w:cs="宋体" w:hint="eastAsia"/>
          <w:color w:val="333333"/>
          <w:kern w:val="0"/>
          <w:sz w:val="32"/>
          <w:szCs w:val="32"/>
        </w:rPr>
        <w:t>超仓数量</w:t>
      </w:r>
      <w:proofErr w:type="gramEnd"/>
      <w:r w:rsidRPr="00B961D1">
        <w:rPr>
          <w:rFonts w:ascii="仿宋_GB2312" w:eastAsia="仿宋_GB2312" w:hAnsi="&amp;quot" w:cs="宋体" w:hint="eastAsia"/>
          <w:color w:val="333333"/>
          <w:kern w:val="0"/>
          <w:sz w:val="32"/>
          <w:szCs w:val="32"/>
        </w:rPr>
        <w:t>由大到小顺序强行平仓。</w:t>
      </w:r>
    </w:p>
    <w:p w14:paraId="0B77CCD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3. 属第四十一条第（三）、（四）、（五）项的强行平仓，强行平</w:t>
      </w:r>
      <w:proofErr w:type="gramStart"/>
      <w:r w:rsidRPr="00B961D1">
        <w:rPr>
          <w:rFonts w:ascii="仿宋_GB2312" w:eastAsia="仿宋_GB2312" w:hAnsi="&amp;quot" w:cs="宋体" w:hint="eastAsia"/>
          <w:color w:val="333333"/>
          <w:kern w:val="0"/>
          <w:sz w:val="32"/>
          <w:szCs w:val="32"/>
        </w:rPr>
        <w:t>仓头寸由交易所</w:t>
      </w:r>
      <w:proofErr w:type="gramEnd"/>
      <w:r w:rsidRPr="00B961D1">
        <w:rPr>
          <w:rFonts w:ascii="仿宋_GB2312" w:eastAsia="仿宋_GB2312" w:hAnsi="&amp;quot" w:cs="宋体" w:hint="eastAsia"/>
          <w:color w:val="333333"/>
          <w:kern w:val="0"/>
          <w:sz w:val="32"/>
          <w:szCs w:val="32"/>
        </w:rPr>
        <w:t>根据涉及的会员和客户具体情况确定。</w:t>
      </w:r>
    </w:p>
    <w:p w14:paraId="0DF9311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若会员同时满足第四十一条第（一）、（二）项情况，交易所先按第（二）项情况确定强行平</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寸，再按第（一）项情况确定强行平</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w:t>
      </w:r>
    </w:p>
    <w:p w14:paraId="2BDC031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第四十三条 强行平仓的执行：</w:t>
      </w:r>
    </w:p>
    <w:p w14:paraId="326E44E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（一）通知。</w:t>
      </w:r>
    </w:p>
    <w:p w14:paraId="4B55D4F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交易所以“强行平仓通知书”（以下简称通知书）的形式向有关会员下达强行平仓要求。通知书除交易所特别送达以外，通过会员服务系统随当日结算数据发送，有关会员可以通过会员服务系统获得。</w:t>
      </w:r>
    </w:p>
    <w:p w14:paraId="36D8D8E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（二）执行及确认。</w:t>
      </w:r>
    </w:p>
    <w:p w14:paraId="380624C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 开市后，有关会员必须首先自行平仓，直至达到平仓要求；</w:t>
      </w:r>
    </w:p>
    <w:p w14:paraId="5EBEDB9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 超过会员自行强行平仓时限而未执行完毕的，剩余部份由交易所直接执行强行平仓；</w:t>
      </w:r>
    </w:p>
    <w:p w14:paraId="5AFAE0C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3. 强行平仓执行完毕后，由交易所记录执行结果并存档；</w:t>
      </w:r>
    </w:p>
    <w:p w14:paraId="658E49F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4. 强行平仓结果随当日成交记录发送，有关会员可以通过会员服务系统获得。</w:t>
      </w:r>
    </w:p>
    <w:p w14:paraId="1EB7BB5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第四十四条 强行平仓的委托价格为该合约的涨（跌）停板价格，强行平仓的成交价格通过市场交易形成。</w:t>
      </w:r>
    </w:p>
    <w:p w14:paraId="099A6D5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第四十五条 如因价格涨跌停板或其他市场原因而无法在当日完成全部强行平仓的，交易所根据结算结果，对该会员或客户做出相应的处理。</w:t>
      </w:r>
    </w:p>
    <w:p w14:paraId="04627F8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第四十六条 由于价格涨跌停板限制或其他市场原因，有关持仓的强行平仓只能延时完成的，因此发生的亏损，仍由直接责任人承担；未能完成平仓的，该持仓持有者须继续对此承担持仓责任或交割义务。</w:t>
      </w:r>
    </w:p>
    <w:p w14:paraId="51C3F3E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第四十七条 除第四十一条第（三）项外，强行平仓产生的盈利或者亏损均归持仓人。持仓人是客户的，强行平仓后发生的亏损，由该客户开户所在期货公司会员先行承担后，自行向该客户追索；持仓人是境外经纪机构客户的，境外经纪机构应辅助其委托交易结算的期货公司会员强行平仓，强行平仓后发生的亏损，由为该境外经纪机构交易结算的期货公司会员先行承担后,自行向该境外经纪机构追索，境外经纪机构承担损失后，自行向该客户追索。</w:t>
      </w:r>
    </w:p>
    <w:p w14:paraId="656FC64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本办法第四十一条第（三）项实施的强行平仓，亏损由相应的会员或客户承担，盈利计入交易所营业外收入。</w:t>
      </w:r>
    </w:p>
    <w:p w14:paraId="0C1716F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会员或客户强行平仓产生的盈利或者亏损根据《大连商品交易所结算管理办法》平仓盈亏有关规定计算。</w:t>
      </w:r>
    </w:p>
    <w:p w14:paraId="6CD9EFC1"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第八章 异常情况处理</w:t>
      </w:r>
    </w:p>
    <w:p w14:paraId="7FCFA50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第四十八条 在期货交易过程中，当出现以下情形之一的，交易所可以宣布进入异常情况，采取紧急措施化解风险：</w:t>
      </w:r>
    </w:p>
    <w:p w14:paraId="5BFA657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（一）地震、水灾、火灾等不可抗力或计算机系统故障等不可归责于交易所的原因导致交易无法正常进行；</w:t>
      </w:r>
    </w:p>
    <w:p w14:paraId="301460E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（二）会员出现结算、交割危机，对市场正在产生或者将产生重大影响；</w:t>
      </w:r>
    </w:p>
    <w:p w14:paraId="18D728E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（三）期货价格出现同方向连续涨跌停板,有根据认为会员、境外经纪机构或者客户违反交易所交易规则及其实施细则并且对市场正在产生或者即将产生重大影响；</w:t>
      </w:r>
    </w:p>
    <w:p w14:paraId="11483634"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（四）交易所规定的其他情况。</w:t>
      </w:r>
    </w:p>
    <w:p w14:paraId="1A54230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出现前款第（一）项异常情况时，交易所总经理可以采取调整开市收市时间、暂停交易的紧急措施；出现前款第（二）、（三）、（四）项异常情况时，理事会可以决定采取调整开市收市时间、暂停交易、调整涨跌停板幅度、调整交易保证金、暂停开新仓、限期平仓、强行平仓、限制出金等紧急措施。</w:t>
      </w:r>
    </w:p>
    <w:p w14:paraId="28D0E850"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第四十九条 在棕榈油期货交易过程中，因战争、社会动荡、自然灾害等因素对棕榈油进口正在产生或者即将产生重大影响时，交易所可以宣布进入异常情况，交易所总经理可以采取调整开市收市时间、暂停交易、终止交易的紧急措施。终止交易当天结算时，棕榈油各合约月份全部持仓按照上一交易日结算价进行平仓。</w:t>
      </w:r>
    </w:p>
    <w:p w14:paraId="716D08F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第五十条 在铁矿石期货交易过程中，因战争、社会动荡、自然灾害等因素对铁矿石进口正在产生或者即将产生重大影响时，交易所可以宣布进入异常情况，交易所总经理可以采取调整开市收市时间、暂停交易、终止交易的紧急措施。终止交易当天结算时，铁矿石各合约月份全部持仓按照上一交易日结算价进行平仓。</w:t>
      </w:r>
    </w:p>
    <w:p w14:paraId="7EFD1B7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第五十一条 交易所宣布异常情况并决定采取紧急措施前必须报告中国证监会。</w:t>
      </w:r>
    </w:p>
    <w:p w14:paraId="4F14295B"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对棕榈油、铁矿石合约采取终止交易紧急措施的，应当经中国证监会批准。</w:t>
      </w:r>
    </w:p>
    <w:p w14:paraId="538362A5"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第五十二条 在鸡蛋期货交易过程中，当发生重大疫情且一定比例交割仓库库区处于疫区时，交易所可以宣布进入异常情况，交易所总经理可以采取暂停交易、终止交易的紧急措施。终止交易当天结算时，鸡蛋各合约月份全部持仓按照上一交易日结算价进行平仓。</w:t>
      </w:r>
    </w:p>
    <w:p w14:paraId="726C44E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第五十三条 交易所宣布进入异常情况并决定暂停交易时，暂停交易的期限不得超过3个交易日，但经中国证监会批准延长的除外。</w:t>
      </w:r>
    </w:p>
    <w:p w14:paraId="3E9D5B5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第五十四条 发生技术故障，存在下列情形时，交易所不承担责任：</w:t>
      </w:r>
    </w:p>
    <w:p w14:paraId="35C6F73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（一）因不可抗力引发的技术故障；</w:t>
      </w:r>
    </w:p>
    <w:p w14:paraId="2D060F09"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（二）非因交易所过错引发的技术故障；</w:t>
      </w:r>
    </w:p>
    <w:p w14:paraId="5C7B85E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（三）法律、法规、规章规定的其他免责情形。</w:t>
      </w:r>
    </w:p>
    <w:p w14:paraId="09CC4975"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第九章　风险警示制度</w:t>
      </w:r>
    </w:p>
    <w:p w14:paraId="7D2AC7DF"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第五十五条 交易所实行风险警示制度。当交易所认为必要时，可以分别或同时采取要求报告情况、谈话提醒、发布风险提示函等措施中的一种或多种，以警示和化解风险。</w:t>
      </w:r>
    </w:p>
    <w:p w14:paraId="6D42A2F4"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第五十六条 出现下列情形之一的，交易所可以要求会员、境外经纪机构或客户报告情况，或约见指定的会员、境外经纪机构高管人员或客户谈话提醒风险：</w:t>
      </w:r>
    </w:p>
    <w:p w14:paraId="30726F0A"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（一）合约价格出现异常变动；</w:t>
      </w:r>
    </w:p>
    <w:p w14:paraId="311AAAF9"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（二）品种、合约成交持仓比出现异常变动；</w:t>
      </w:r>
    </w:p>
    <w:p w14:paraId="671DF237"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（三）会员或客户交易行为异常；</w:t>
      </w:r>
    </w:p>
    <w:p w14:paraId="02E20712"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（四）会员、境外经纪机构或客户持仓变化较大；</w:t>
      </w:r>
    </w:p>
    <w:p w14:paraId="3435DDE9"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（五）会员、境外经纪机构或客户持仓量过大，或持仓占比过高；</w:t>
      </w:r>
    </w:p>
    <w:p w14:paraId="118EF91C"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（六）会员、境外经纪机构或客户成交量过大，或成交占比过高；</w:t>
      </w:r>
    </w:p>
    <w:p w14:paraId="34F759E6"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（七）会员资金变化较大；</w:t>
      </w:r>
    </w:p>
    <w:p w14:paraId="1040A546"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（八）会员、境外经纪机构或客户涉嫌违规；</w:t>
      </w:r>
    </w:p>
    <w:p w14:paraId="1B11244E"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（九）会员、境外经纪机构或客户被投诉；</w:t>
      </w:r>
    </w:p>
    <w:p w14:paraId="7BAA8ED0" w14:textId="77777777" w:rsidR="00280DD9" w:rsidRPr="00B961D1" w:rsidRDefault="00280DD9" w:rsidP="00280DD9">
      <w:pPr>
        <w:widowControl/>
        <w:shd w:val="clear" w:color="auto" w:fill="FFFFFF"/>
        <w:jc w:val="left"/>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（十）会员、境外经纪机构或客户涉及司法调查或诉讼案件；</w:t>
      </w:r>
    </w:p>
    <w:p w14:paraId="5935B08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（十一）交易所认定的其他情形。</w:t>
      </w:r>
    </w:p>
    <w:p w14:paraId="7BC22BB1"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交易所要求会员、境外经纪机构或客户报告情况的，会员、境外经纪机构或客户应当按照交易所要求的时间、内容和方式如实报告。</w:t>
      </w:r>
    </w:p>
    <w:p w14:paraId="631320C8"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交易所实施谈话提醒的，会员、境外经纪机构或客户应当按照交易所要求的时间、地点和方式认真履行。</w:t>
      </w:r>
    </w:p>
    <w:p w14:paraId="6FDD7FA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交易所如果使用电话提示方式，应保留电话录音；如果使用视频谈话方式，应保存相关视频；如果使用现场谈话方式，应保存谈话记录。</w:t>
      </w:r>
    </w:p>
    <w:p w14:paraId="1F782D0D"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第五十七条 发生下列情形之一的，交易所可以向全体或部分会员、境外经纪机构和客户发出风险提示函：</w:t>
      </w:r>
    </w:p>
    <w:p w14:paraId="6065027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（一）期货市场交易出现异常变化；</w:t>
      </w:r>
    </w:p>
    <w:p w14:paraId="1E1D9383"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（二）国内外期货或现货市场发生较大变化；</w:t>
      </w:r>
    </w:p>
    <w:p w14:paraId="6FB0C61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（三）会员、境外经纪机构或客户涉嫌违规；</w:t>
      </w:r>
    </w:p>
    <w:p w14:paraId="6BACD884"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（四）会员、境外经纪机构或客户交易存在较大风险；</w:t>
      </w:r>
    </w:p>
    <w:p w14:paraId="60FB3092"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（五）交易所认定的其他异常情形。</w:t>
      </w:r>
    </w:p>
    <w:p w14:paraId="1F832B2E" w14:textId="77777777" w:rsidR="00280DD9" w:rsidRPr="00B961D1" w:rsidRDefault="00280DD9" w:rsidP="00280DD9">
      <w:pPr>
        <w:widowControl/>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第十章 附则</w:t>
      </w:r>
    </w:p>
    <w:p w14:paraId="061C4AE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第五十八条 违反本办法规定的，交易所按《大连商品交易所违规处理办法》的有关规定处理。</w:t>
      </w:r>
    </w:p>
    <w:p w14:paraId="0671FC1A"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第五十九条</w:t>
      </w:r>
      <w:r w:rsidRPr="00B961D1">
        <w:rPr>
          <w:rFonts w:ascii="仿宋_GB2312" w:eastAsia="仿宋_GB2312" w:hAnsi="&amp;quot" w:cs="宋体" w:hint="eastAsia"/>
          <w:color w:val="333333"/>
          <w:kern w:val="0"/>
          <w:sz w:val="32"/>
          <w:szCs w:val="32"/>
        </w:rPr>
        <w:t> </w:t>
      </w:r>
      <w:r w:rsidRPr="00B961D1">
        <w:rPr>
          <w:rFonts w:ascii="仿宋_GB2312" w:eastAsia="仿宋_GB2312" w:hAnsi="&amp;quot" w:cs="宋体" w:hint="eastAsia"/>
          <w:color w:val="333333"/>
          <w:kern w:val="0"/>
          <w:sz w:val="32"/>
          <w:szCs w:val="32"/>
        </w:rPr>
        <w:t xml:space="preserve"> 交易所对期权交易风险管理有特别规定的，适用其规定。</w:t>
      </w:r>
    </w:p>
    <w:p w14:paraId="5DE11AC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第六十条 本办法解释权属于大连商品交易所。</w:t>
      </w:r>
    </w:p>
    <w:p w14:paraId="1FCE34D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第六十一条 本办法自公布之日起实施。</w:t>
      </w:r>
    </w:p>
    <w:p w14:paraId="44CEEEEE"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hyperlink r:id="rId6" w:history="1">
        <w:r w:rsidRPr="00B961D1">
          <w:rPr>
            <w:rFonts w:ascii="仿宋_GB2312" w:eastAsia="仿宋_GB2312" w:hAnsi="&amp;quot" w:cs="宋体" w:hint="eastAsia"/>
            <w:color w:val="333333"/>
            <w:kern w:val="0"/>
            <w:sz w:val="32"/>
            <w:szCs w:val="32"/>
          </w:rPr>
          <w:t>附件1：连续三个涨跌停板后平仓数量的分配方法及步骤（略）</w:t>
        </w:r>
      </w:hyperlink>
    </w:p>
    <w:p w14:paraId="51B108D6" w14:textId="77777777" w:rsidR="00280DD9" w:rsidRPr="00B961D1" w:rsidRDefault="00280DD9" w:rsidP="00280DD9">
      <w:pPr>
        <w:widowControl/>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hyperlink r:id="rId7" w:history="1">
        <w:r w:rsidRPr="00B961D1">
          <w:rPr>
            <w:rFonts w:ascii="仿宋_GB2312" w:eastAsia="仿宋_GB2312" w:hAnsi="&amp;quot" w:cs="宋体" w:hint="eastAsia"/>
            <w:color w:val="333333"/>
            <w:kern w:val="0"/>
            <w:sz w:val="32"/>
            <w:szCs w:val="32"/>
          </w:rPr>
          <w:t>附件2：大连商品交易所非期货公司会员大户报告表（略）</w:t>
        </w:r>
      </w:hyperlink>
    </w:p>
    <w:p w14:paraId="0FACD48F" w14:textId="77777777" w:rsidR="0020421D" w:rsidRDefault="00280DD9" w:rsidP="00280DD9">
      <w:r w:rsidRPr="00B961D1">
        <w:rPr>
          <w:rFonts w:ascii="仿宋_GB2312" w:eastAsia="仿宋_GB2312" w:hAnsi="&amp;quot" w:cs="宋体" w:hint="eastAsia"/>
          <w:color w:val="333333"/>
          <w:kern w:val="0"/>
          <w:sz w:val="32"/>
          <w:szCs w:val="32"/>
        </w:rPr>
        <w:t xml:space="preserve">　　</w:t>
      </w:r>
      <w:hyperlink r:id="rId8" w:history="1">
        <w:r w:rsidRPr="00B961D1">
          <w:rPr>
            <w:rFonts w:ascii="仿宋_GB2312" w:eastAsia="仿宋_GB2312" w:hAnsi="&amp;quot" w:cs="宋体" w:hint="eastAsia"/>
            <w:color w:val="333333"/>
            <w:kern w:val="0"/>
            <w:sz w:val="32"/>
            <w:szCs w:val="32"/>
          </w:rPr>
          <w:t>附件3：大连商品交易所客户大户报告表（略）</w:t>
        </w:r>
      </w:hyperlink>
    </w:p>
    <w:sectPr w:rsidR="0020421D">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AF224" w14:textId="77777777" w:rsidR="00280DD9" w:rsidRDefault="00280DD9" w:rsidP="00280DD9">
      <w:r>
        <w:separator/>
      </w:r>
    </w:p>
  </w:endnote>
  <w:endnote w:type="continuationSeparator" w:id="0">
    <w:p w14:paraId="42DBA4A5" w14:textId="77777777" w:rsidR="00280DD9" w:rsidRDefault="00280DD9" w:rsidP="00280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amp;quot">
    <w:altName w:val="Cambria"/>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910708"/>
      <w:docPartObj>
        <w:docPartGallery w:val="Page Numbers (Bottom of Page)"/>
        <w:docPartUnique/>
      </w:docPartObj>
    </w:sdtPr>
    <w:sdtContent>
      <w:p w14:paraId="0D4D9F4A" w14:textId="77777777" w:rsidR="00280DD9" w:rsidRDefault="00280DD9">
        <w:pPr>
          <w:pStyle w:val="a5"/>
          <w:jc w:val="center"/>
        </w:pPr>
        <w:r>
          <w:fldChar w:fldCharType="begin"/>
        </w:r>
        <w:r>
          <w:instrText>PAGE   \* MERGEFORMAT</w:instrText>
        </w:r>
        <w:r>
          <w:fldChar w:fldCharType="separate"/>
        </w:r>
        <w:r w:rsidRPr="00280DD9">
          <w:rPr>
            <w:noProof/>
            <w:lang w:val="zh-CN"/>
          </w:rPr>
          <w:t>31</w:t>
        </w:r>
        <w:r>
          <w:fldChar w:fldCharType="end"/>
        </w:r>
      </w:p>
    </w:sdtContent>
  </w:sdt>
  <w:p w14:paraId="75E49765" w14:textId="77777777" w:rsidR="00280DD9" w:rsidRDefault="00280D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2A6B1" w14:textId="77777777" w:rsidR="00280DD9" w:rsidRDefault="00280DD9" w:rsidP="00280DD9">
      <w:r>
        <w:separator/>
      </w:r>
    </w:p>
  </w:footnote>
  <w:footnote w:type="continuationSeparator" w:id="0">
    <w:p w14:paraId="2825B873" w14:textId="77777777" w:rsidR="00280DD9" w:rsidRDefault="00280DD9" w:rsidP="00280D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8F6"/>
    <w:rsid w:val="0020421D"/>
    <w:rsid w:val="00280DD9"/>
    <w:rsid w:val="007428F6"/>
    <w:rsid w:val="00E35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C7641"/>
  <w15:chartTrackingRefBased/>
  <w15:docId w15:val="{599A876D-1F24-4A54-BDE7-197811B83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0DD9"/>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DD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280DD9"/>
    <w:rPr>
      <w:sz w:val="18"/>
      <w:szCs w:val="18"/>
    </w:rPr>
  </w:style>
  <w:style w:type="paragraph" w:styleId="a5">
    <w:name w:val="footer"/>
    <w:basedOn w:val="a"/>
    <w:link w:val="a6"/>
    <w:uiPriority w:val="99"/>
    <w:unhideWhenUsed/>
    <w:rsid w:val="00280DD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280D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e.com.cn/dalianshangpin/resource/cms/2018/12/2018122716155890813.docx"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www.dce.com.cn/dalianshangpin/resource/cms/2018/12/2018122716155879666.docx"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ce.com.cn/dalianshangpin/resource/cms/2018/12/2018122716154855186.doc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6546E51E3C3F964A9E558D45CB4E4546" ma:contentTypeVersion="1" ma:contentTypeDescription="新建文档。" ma:contentTypeScope="" ma:versionID="a4a7dbff043791659d3827abdc6ed283">
  <xsd:schema xmlns:xsd="http://www.w3.org/2001/XMLSchema" xmlns:xs="http://www.w3.org/2001/XMLSchema" xmlns:p="http://schemas.microsoft.com/office/2006/metadata/properties" xmlns:ns2="4f16167e-0980-47ed-bfa9-106d2637988c" targetNamespace="http://schemas.microsoft.com/office/2006/metadata/properties" ma:root="true" ma:fieldsID="42a2cd7e8d6a18792d9d8d6037519d09" ns2:_="">
    <xsd:import namespace="4f16167e-0980-47ed-bfa9-106d263798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6167e-0980-47ed-bfa9-106d2637988c"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5225A4-5B01-4CC6-B339-230ED871F53B}"/>
</file>

<file path=customXml/itemProps2.xml><?xml version="1.0" encoding="utf-8"?>
<ds:datastoreItem xmlns:ds="http://schemas.openxmlformats.org/officeDocument/2006/customXml" ds:itemID="{B846158F-10F9-45A2-933A-4FEDFEA2D60A}"/>
</file>

<file path=customXml/itemProps3.xml><?xml version="1.0" encoding="utf-8"?>
<ds:datastoreItem xmlns:ds="http://schemas.openxmlformats.org/officeDocument/2006/customXml" ds:itemID="{12ECCACE-DE06-4736-A650-B0BC38F1C8DF}"/>
</file>

<file path=docProps/app.xml><?xml version="1.0" encoding="utf-8"?>
<Properties xmlns="http://schemas.openxmlformats.org/officeDocument/2006/extended-properties" xmlns:vt="http://schemas.openxmlformats.org/officeDocument/2006/docPropsVTypes">
  <Template>Normal.dotm</Template>
  <TotalTime>2</TotalTime>
  <Pages>32</Pages>
  <Words>7090</Words>
  <Characters>7374</Characters>
  <Application>Microsoft Office Word</Application>
  <DocSecurity>0</DocSecurity>
  <Lines>819</Lines>
  <Paragraphs>761</Paragraphs>
  <ScaleCrop>false</ScaleCrop>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刘婧婧</dc:creator>
  <cp:keywords/>
  <dc:description/>
  <cp:lastModifiedBy>刘婧婧</cp:lastModifiedBy>
  <cp:revision>2</cp:revision>
  <dcterms:created xsi:type="dcterms:W3CDTF">2020-05-07T04:50:00Z</dcterms:created>
  <dcterms:modified xsi:type="dcterms:W3CDTF">2020-05-07T04:52:00Z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0x0101006546E51E3C3F964A9E558D45CB4E4546</vt:lpwstr>
  </property>
</Properties>
</file>